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117A0">
      <w:pPr>
        <w:adjustRightInd w:val="0"/>
        <w:snapToGrid w:val="0"/>
        <w:spacing w:line="600" w:lineRule="exact"/>
        <w:outlineLvl w:val="0"/>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bookmarkStart w:id="0" w:name="_GoBack"/>
      <w:bookmarkEnd w:id="0"/>
    </w:p>
    <w:p w14:paraId="151D16B9">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pPr>
    </w:p>
    <w:p w14:paraId="058376A7">
      <w:pPr>
        <w:adjustRightInd w:val="0"/>
        <w:snapToGrid w:val="0"/>
        <w:spacing w:line="600" w:lineRule="exact"/>
        <w:jc w:val="center"/>
        <w:outlineLvl w:val="0"/>
        <w:rPr>
          <w:rFonts w:hint="eastAsia" w:ascii="Times New Roman" w:hAnsi="Times New Roman" w:eastAsia="方正小标宋简体"/>
          <w:color w:val="auto"/>
          <w:sz w:val="40"/>
          <w:szCs w:val="40"/>
        </w:rPr>
      </w:pPr>
      <w:r>
        <w:rPr>
          <w:rFonts w:hint="eastAsia" w:ascii="Times New Roman" w:hAnsi="Times New Roman" w:eastAsia="方正小标宋简体"/>
          <w:color w:val="auto"/>
          <w:sz w:val="40"/>
          <w:szCs w:val="40"/>
        </w:rPr>
        <w:t>2025年中央粮油生产保障资金</w:t>
      </w:r>
    </w:p>
    <w:p w14:paraId="6DC0E58D">
      <w:pPr>
        <w:adjustRightInd w:val="0"/>
        <w:snapToGrid w:val="0"/>
        <w:spacing w:line="600" w:lineRule="exact"/>
        <w:jc w:val="center"/>
        <w:outlineLvl w:val="0"/>
        <w:rPr>
          <w:rFonts w:ascii="Times New Roman" w:hAnsi="Times New Roman" w:eastAsia="方正小标宋简体"/>
          <w:color w:val="auto"/>
          <w:sz w:val="48"/>
          <w:szCs w:val="48"/>
        </w:rPr>
      </w:pPr>
      <w:r>
        <w:rPr>
          <w:rFonts w:hint="eastAsia" w:ascii="Times New Roman" w:hAnsi="Times New Roman" w:eastAsia="方正小标宋简体"/>
          <w:color w:val="auto"/>
          <w:sz w:val="40"/>
          <w:szCs w:val="40"/>
        </w:rPr>
        <w:t>（绿色高产高效行动）项目实施方案（指南）</w:t>
      </w:r>
    </w:p>
    <w:p w14:paraId="443D0CA5">
      <w:pPr>
        <w:adjustRightInd w:val="0"/>
        <w:snapToGrid w:val="0"/>
        <w:spacing w:line="600" w:lineRule="exact"/>
        <w:outlineLvl w:val="0"/>
        <w:rPr>
          <w:rFonts w:ascii="Times New Roman" w:hAnsi="Times New Roman" w:eastAsia="黑体"/>
          <w:sz w:val="32"/>
          <w:szCs w:val="32"/>
        </w:rPr>
      </w:pPr>
    </w:p>
    <w:p w14:paraId="5571F230">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一、绩效目标</w:t>
      </w:r>
    </w:p>
    <w:p w14:paraId="458BAF89">
      <w:pPr>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聚焦水稻、玉米、大豆三大粮食作物和花生等油料作物，兼顾蔬菜、中药材等经济作物，打造粮油绿色高产高效行动推进县29个、经济作物绿色高产高效行动示范县2个，大豆玉米水稻单产提升整建制推进县26个，粮油作物项目区节本增效水平≥5%，全省集成推广绿色高质高效技术模式15套、设施蔬菜连作障碍治理关键技术1项。</w:t>
      </w:r>
    </w:p>
    <w:p w14:paraId="528A55EE">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二、补助对象</w:t>
      </w:r>
    </w:p>
    <w:p w14:paraId="0B161495">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补助对象为各项目县（市、区）农业农村部门或农业（园艺）技术推广部门。</w:t>
      </w:r>
    </w:p>
    <w:p w14:paraId="0CE1C62D">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粮油作物绿色高产高效示范县29个。主要支持玉米、大豆、水稻单产提升整建制县，兼顾非整建制但粮食作物播种面积100万亩以上的县，分别为：榆树、农安、公主岭、德惠、双阳、九台、永吉、舒兰、桦甸、磐石、蛟河、梨树、伊通、双辽、东丰、东辽、辉南、柳河、梅河口、前郭、扶余、长岭、乾安、洮北、大安、洮南、镇赉、通榆、敦化。</w:t>
      </w:r>
    </w:p>
    <w:p w14:paraId="3630AC5F">
      <w:pPr>
        <w:pStyle w:val="10"/>
        <w:spacing w:after="0" w:line="600" w:lineRule="exact"/>
        <w:ind w:left="0" w:leftChars="0" w:firstLine="640"/>
        <w:rPr>
          <w:rFonts w:ascii="Times New Roman" w:hAnsi="Times New Roman" w:eastAsia="仿宋_GB2312"/>
          <w:bCs/>
          <w:sz w:val="32"/>
          <w:szCs w:val="32"/>
        </w:rPr>
      </w:pPr>
      <w:r>
        <w:rPr>
          <w:rFonts w:ascii="Times New Roman" w:hAnsi="Times New Roman" w:eastAsia="仿宋_GB2312"/>
          <w:bCs/>
          <w:sz w:val="32"/>
          <w:szCs w:val="32"/>
        </w:rPr>
        <w:t>经济作物绿色高产高效示范县2个。综合</w:t>
      </w:r>
      <w:r>
        <w:rPr>
          <w:rFonts w:ascii="Times New Roman" w:hAnsi="Times New Roman" w:eastAsia="仿宋_GB2312"/>
          <w:sz w:val="32"/>
          <w:szCs w:val="32"/>
        </w:rPr>
        <w:t>申报县份</w:t>
      </w:r>
      <w:r>
        <w:rPr>
          <w:rFonts w:ascii="Times New Roman" w:hAnsi="Times New Roman" w:eastAsia="仿宋_GB2312"/>
          <w:bCs/>
          <w:sz w:val="32"/>
          <w:szCs w:val="32"/>
        </w:rPr>
        <w:t>的</w:t>
      </w:r>
      <w:r>
        <w:rPr>
          <w:rFonts w:ascii="Times New Roman" w:hAnsi="Times New Roman" w:eastAsia="仿宋_GB2312"/>
          <w:sz w:val="32"/>
          <w:szCs w:val="32"/>
        </w:rPr>
        <w:t>产业基础、规模效益、科技水平、“三品一标”生产</w:t>
      </w:r>
      <w:r>
        <w:rPr>
          <w:rFonts w:ascii="Times New Roman" w:hAnsi="Times New Roman" w:eastAsia="仿宋_GB2312"/>
          <w:bCs/>
          <w:sz w:val="32"/>
          <w:szCs w:val="32"/>
        </w:rPr>
        <w:t>等因素，经组织</w:t>
      </w:r>
      <w:r>
        <w:rPr>
          <w:rFonts w:ascii="Times New Roman" w:hAnsi="Times New Roman" w:eastAsia="仿宋_GB2312"/>
          <w:sz w:val="32"/>
          <w:szCs w:val="32"/>
        </w:rPr>
        <w:t>专家</w:t>
      </w:r>
      <w:r>
        <w:rPr>
          <w:rFonts w:ascii="Times New Roman" w:hAnsi="Times New Roman" w:eastAsia="仿宋_GB2312"/>
          <w:bCs/>
          <w:sz w:val="32"/>
          <w:szCs w:val="32"/>
        </w:rPr>
        <w:t>评审和公示等程序，</w:t>
      </w:r>
      <w:r>
        <w:rPr>
          <w:rFonts w:ascii="Times New Roman" w:hAnsi="Times New Roman" w:eastAsia="仿宋_GB2312"/>
          <w:sz w:val="32"/>
          <w:szCs w:val="32"/>
        </w:rPr>
        <w:t>确定2025年高产高效蔬菜标准化生产（设施蔬菜连作障碍）试点县为长岭县，中药材标准化种植推进县为集安市。</w:t>
      </w:r>
    </w:p>
    <w:p w14:paraId="0A76ED22">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三、补助标准</w:t>
      </w:r>
    </w:p>
    <w:p w14:paraId="0F3941FF">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绿色高产高效行动补助标准由各有关县级农业农村部门根据本方案要求并结合本地实际具体确定。项目资金主要对购买优良品种、培训高产技术、实施专业服务、组织测产验收、开展观摩交流等方面进行补助。</w:t>
      </w:r>
    </w:p>
    <w:p w14:paraId="44FE2609">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粮油作物绿色高产高效项目资金主要用于三个方面：</w:t>
      </w:r>
      <w:r>
        <w:rPr>
          <w:rFonts w:ascii="Times New Roman" w:hAnsi="Times New Roman" w:eastAsia="仿宋_GB2312"/>
          <w:b/>
          <w:bCs/>
          <w:sz w:val="32"/>
          <w:szCs w:val="32"/>
        </w:rPr>
        <w:t>一是物化投入补助。</w:t>
      </w:r>
      <w:r>
        <w:rPr>
          <w:rFonts w:ascii="Times New Roman" w:hAnsi="Times New Roman" w:eastAsia="仿宋_GB2312"/>
          <w:sz w:val="32"/>
          <w:szCs w:val="32"/>
        </w:rPr>
        <w:t>用于统一供种、统一农资、统一技术、统一管理等物化投入进行补助。</w:t>
      </w:r>
      <w:r>
        <w:rPr>
          <w:rFonts w:ascii="Times New Roman" w:hAnsi="Times New Roman" w:eastAsia="仿宋_GB2312"/>
          <w:b/>
          <w:bCs/>
          <w:sz w:val="32"/>
          <w:szCs w:val="32"/>
        </w:rPr>
        <w:t>二是社会化服务补助。</w:t>
      </w:r>
      <w:r>
        <w:rPr>
          <w:rFonts w:ascii="Times New Roman" w:hAnsi="Times New Roman" w:eastAsia="仿宋_GB2312"/>
          <w:sz w:val="32"/>
          <w:szCs w:val="32"/>
        </w:rPr>
        <w:t>对推广先进施药机械、制种机械、改进施药方式、购买病虫绿色防控、耕种收一体化作业等社会化服务进行补助。</w:t>
      </w:r>
      <w:r>
        <w:rPr>
          <w:rFonts w:ascii="Times New Roman" w:hAnsi="Times New Roman" w:eastAsia="仿宋_GB2312"/>
          <w:b/>
          <w:bCs/>
          <w:sz w:val="32"/>
          <w:szCs w:val="32"/>
        </w:rPr>
        <w:t>三是技术指导服务补助。</w:t>
      </w:r>
      <w:r>
        <w:rPr>
          <w:rFonts w:ascii="Times New Roman" w:hAnsi="Times New Roman" w:eastAsia="仿宋_GB2312"/>
          <w:sz w:val="32"/>
          <w:szCs w:val="32"/>
        </w:rPr>
        <w:t>对农业农村部门组织专家开展技术指导、开展优质品种推广、新技术集成组装、瓶颈技术攻关及项目考核验收等方面给予适当补助。</w:t>
      </w:r>
    </w:p>
    <w:p w14:paraId="5695AEB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经济作物绿色高产高效项目资金主要用于三个方面：</w:t>
      </w:r>
      <w:r>
        <w:rPr>
          <w:rFonts w:ascii="Times New Roman" w:hAnsi="Times New Roman" w:eastAsia="仿宋_GB2312"/>
          <w:b/>
          <w:bCs/>
          <w:sz w:val="32"/>
          <w:szCs w:val="32"/>
        </w:rPr>
        <w:t>一是绿色生产技术应用补助</w:t>
      </w:r>
      <w:r>
        <w:rPr>
          <w:rFonts w:ascii="Times New Roman" w:hAnsi="Times New Roman" w:eastAsia="仿宋_GB2312"/>
          <w:sz w:val="32"/>
          <w:szCs w:val="32"/>
        </w:rPr>
        <w:t>。重点支持龙头企业、专业合作社、种植大户等新型农业经营主体，创建集中连片的绿色高产高效基地，示范带动大面积应用。</w:t>
      </w:r>
      <w:r>
        <w:rPr>
          <w:rFonts w:ascii="Times New Roman" w:hAnsi="Times New Roman" w:eastAsia="仿宋_GB2312"/>
          <w:b/>
          <w:bCs/>
          <w:sz w:val="32"/>
          <w:szCs w:val="32"/>
        </w:rPr>
        <w:t>二是社会化服务补助</w:t>
      </w:r>
      <w:r>
        <w:rPr>
          <w:rFonts w:ascii="Times New Roman" w:hAnsi="Times New Roman" w:eastAsia="仿宋_GB2312"/>
          <w:sz w:val="32"/>
          <w:szCs w:val="32"/>
        </w:rPr>
        <w:t>。重点支持专业化服务组织，开展种苗统育统供、病虫统防统治、肥料统配统施、农机统耕统种等社会化服务，解决一家一户办不好、办不到的问题。</w:t>
      </w:r>
      <w:r>
        <w:rPr>
          <w:rFonts w:ascii="Times New Roman" w:hAnsi="Times New Roman" w:eastAsia="仿宋_GB2312"/>
          <w:b/>
          <w:bCs/>
          <w:sz w:val="32"/>
          <w:szCs w:val="32"/>
        </w:rPr>
        <w:t>三是技术指导推广服务补助</w:t>
      </w:r>
      <w:r>
        <w:rPr>
          <w:rFonts w:ascii="Times New Roman" w:hAnsi="Times New Roman" w:eastAsia="仿宋_GB2312"/>
          <w:sz w:val="32"/>
          <w:szCs w:val="32"/>
        </w:rPr>
        <w:t>。重点支持开展技术指导服务，以及资料编印、信息发布、标牌制作、检测评价等，确保各项工作和技术措施落实到位。</w:t>
      </w:r>
    </w:p>
    <w:p w14:paraId="63DF9469">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四、建设内容</w:t>
      </w:r>
    </w:p>
    <w:p w14:paraId="6F059189">
      <w:pPr>
        <w:pStyle w:val="2"/>
        <w:spacing w:after="0" w:line="600" w:lineRule="exact"/>
        <w:ind w:firstLine="643" w:firstLineChars="200"/>
        <w:rPr>
          <w:rFonts w:ascii="Times New Roman" w:hAnsi="Times New Roman" w:eastAsia="仿宋_GB2312"/>
          <w:bCs/>
          <w:sz w:val="32"/>
          <w:szCs w:val="32"/>
        </w:rPr>
      </w:pPr>
      <w:r>
        <w:rPr>
          <w:rFonts w:ascii="Times New Roman" w:hAnsi="Times New Roman" w:eastAsia="楷体_GB2312"/>
          <w:b/>
          <w:sz w:val="32"/>
          <w:szCs w:val="32"/>
        </w:rPr>
        <w:t>一是建设绿色高产高效示范县。</w:t>
      </w:r>
      <w:r>
        <w:rPr>
          <w:rFonts w:ascii="Times New Roman" w:hAnsi="Times New Roman" w:eastAsia="仿宋_GB2312"/>
          <w:bCs/>
          <w:sz w:val="32"/>
          <w:szCs w:val="32"/>
        </w:rPr>
        <w:t>重点打造4个大豆、19个玉米、3个水稻整建制推进县，同时结合本地优势作物，选择代表性强、基础条件好、辐射带动能力突出的县予以重点支持。整建制推进县集中力量重点支持目标作物示范创建，扶余、前郭等油料作物优势突出的县，要拿出适当资金兼顾花生等油料作物示范创建；非整建制推进县可自行选择创建作物。每个玉米和水稻推进县至少打造10个千亩方和2个万亩片，辐射带动10万亩以上；每个大豆和油料推进县至少打造20个百亩田和5个千亩方，辐射带动5万亩以上。在项目区力争实现示范片亩产比当地平均水平高5%以上。</w:t>
      </w:r>
    </w:p>
    <w:p w14:paraId="149357BF">
      <w:pPr>
        <w:pStyle w:val="2"/>
        <w:spacing w:after="0" w:line="600" w:lineRule="exact"/>
        <w:ind w:firstLine="643" w:firstLineChars="200"/>
        <w:rPr>
          <w:rFonts w:ascii="Times New Roman" w:hAnsi="Times New Roman" w:eastAsia="仿宋_GB2312"/>
          <w:bCs/>
          <w:sz w:val="32"/>
          <w:szCs w:val="32"/>
        </w:rPr>
      </w:pPr>
      <w:r>
        <w:rPr>
          <w:rFonts w:ascii="Times New Roman" w:hAnsi="Times New Roman" w:eastAsia="楷体_GB2312"/>
          <w:b/>
          <w:sz w:val="32"/>
          <w:szCs w:val="32"/>
        </w:rPr>
        <w:t>二是建设节水增粮推进县。</w:t>
      </w:r>
      <w:r>
        <w:rPr>
          <w:rFonts w:ascii="Times New Roman" w:hAnsi="Times New Roman" w:eastAsia="仿宋_GB2312"/>
          <w:bCs/>
          <w:sz w:val="32"/>
          <w:szCs w:val="32"/>
        </w:rPr>
        <w:t>在单产提升整建制推进县选择6个重点县同时开展节水增粮建设，每县至少打造10个千亩方和2个万亩片，辐射带动10万亩以上，项目区力争粮食作物水分生产力提高10%。以玉米作物为主，旱耕地组装配套深松深耕、覆盖保墒、保护性耕作、抗旱品种选育、保水剂等技术措施，集成创新旱地玉米节水增粮技术模式；水浇地在高效节水灌溉基础上，优化灌溉制度、示范水肥一体化单产提升技术模式，实现密植和水肥精准调控。</w:t>
      </w:r>
    </w:p>
    <w:p w14:paraId="272C2758">
      <w:pPr>
        <w:pStyle w:val="2"/>
        <w:spacing w:after="0" w:line="600" w:lineRule="exact"/>
        <w:ind w:firstLine="643" w:firstLineChars="200"/>
        <w:rPr>
          <w:rFonts w:ascii="Times New Roman" w:hAnsi="Times New Roman" w:eastAsia="仿宋_GB2312"/>
          <w:bCs/>
          <w:sz w:val="32"/>
          <w:szCs w:val="32"/>
        </w:rPr>
      </w:pPr>
      <w:r>
        <w:rPr>
          <w:rFonts w:ascii="Times New Roman" w:hAnsi="Times New Roman" w:eastAsia="楷体_GB2312"/>
          <w:b/>
          <w:sz w:val="32"/>
          <w:szCs w:val="32"/>
        </w:rPr>
        <w:t>三是建设“旱地吨粮田”</w:t>
      </w:r>
      <w:r>
        <w:rPr>
          <w:rFonts w:ascii="Times New Roman" w:hAnsi="Times New Roman" w:eastAsia="仿宋_GB2312"/>
          <w:bCs/>
          <w:sz w:val="32"/>
          <w:szCs w:val="32"/>
        </w:rPr>
        <w:t>。结合《吉林省玉米“吨粮田”建设实施方案》，以长春、四平、松原、白城地区为重点，其他市县结合实际积极创建。指导各项目县选择种植规模适度、技术装备适宜、带动能力强的种植大户、家庭农场、农民合作社、农业社会化服务组织等新型经营主体予以重点支持，打造“集中连片、旱涝保收、节水高效、稳产高产、生态友好”的“吨粮田”示范区，以玉米“水肥一体化+密植”、秋粮“一喷多促”、玉米秸秆保护性耕作覆盖还田条耕种植等为主要示范技术。</w:t>
      </w:r>
    </w:p>
    <w:p w14:paraId="5A3FEA3E">
      <w:pPr>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四是建设经济作物提质增效推进县。</w:t>
      </w:r>
      <w:r>
        <w:rPr>
          <w:rFonts w:ascii="Times New Roman" w:hAnsi="Times New Roman" w:eastAsia="仿宋_GB2312"/>
          <w:sz w:val="32"/>
          <w:szCs w:val="32"/>
        </w:rPr>
        <w:t>在蔬菜和中药材优势产区，着力打造产业基础强、科技水平高、生产特色鲜明的蔬菜标准化生产（设施蔬菜连作障碍）试点县和中药材标准化种植推进县。承担设施蔬菜连作障碍综合治理试点县相对集中打造1个千亩方，辐射带动面积1万亩以上。承担中药材标准化种植的推进县相对集中打造2个千亩方，辐射带动面积1万亩以上。</w:t>
      </w:r>
    </w:p>
    <w:p w14:paraId="457A8B97">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五、有关要求</w:t>
      </w:r>
    </w:p>
    <w:p w14:paraId="36A324B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项目县要结合本地实际制定实施方案，落实责任分工，将实施内容、区域和技术路径落细落实。项目县集成适合当地种植的高产品种、技术、机具，按作物形成1套以上高产稳产技术方案。依托省绿色高产高效行动专家组，组织各级农技推广部门和科研院所专家成立专家指导组和科技小分队，因地制宜制定技术方案，健全专家对口联系制度，做到“一县一团队，一乡一专家”。</w:t>
      </w:r>
      <w:r>
        <w:rPr>
          <w:rFonts w:ascii="Times New Roman" w:hAnsi="Times New Roman" w:eastAsia="黑体"/>
          <w:sz w:val="32"/>
          <w:szCs w:val="32"/>
        </w:rPr>
        <w:t>绿色高产高效行动项目不得与承担粮油规模种植主体单产提升行动项目任务的主体重复。玉米大豆整建制推进县同时也是玉米大豆单产提升工程县的，要确保在不同地块实施。</w:t>
      </w:r>
      <w:r>
        <w:rPr>
          <w:rFonts w:ascii="Times New Roman" w:hAnsi="Times New Roman" w:eastAsia="仿宋_GB2312"/>
          <w:sz w:val="32"/>
          <w:szCs w:val="32"/>
        </w:rPr>
        <w:t>项目县要严格落实财政资金使用管理办法，建立专门台账，严格支出范围，做好工作自检自查，建立健全工作档案，将行动工作相关文件和影像资料归档立卷。各地要严格测产验收，规范执行测产验收办法，科学总结成效，加强高产典型项目内部宣传交流。各县项目实施部门要及时填报农业农村部转移支付管理平台（https://zyzf.xnzb.org.cn），做好资金、技术和任务落实。各项目县要将本地区单产提升效果、整建制推进成效、主要工作做法、下步计划、工作建议以及任务资金需求等形成总结报告，于2025年10月30日前正式报送省农业农村厅项目主管处室。</w:t>
      </w:r>
    </w:p>
    <w:p w14:paraId="3D99D0EE">
      <w:pPr>
        <w:pStyle w:val="2"/>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联系人：</w:t>
      </w:r>
    </w:p>
    <w:p w14:paraId="3D174D6B">
      <w:pPr>
        <w:pStyle w:val="2"/>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粮油作物：省农业技术推广总站     张锡铜 0431-85955398</w:t>
      </w:r>
    </w:p>
    <w:p w14:paraId="1ECCEE72">
      <w:pPr>
        <w:pStyle w:val="2"/>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省土壤肥料总站         刘  健 0431-85927746</w:t>
      </w:r>
    </w:p>
    <w:p w14:paraId="35469F80">
      <w:pPr>
        <w:pStyle w:val="2"/>
        <w:spacing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经济作物：</w:t>
      </w:r>
      <w:r>
        <w:rPr>
          <w:rFonts w:ascii="Times New Roman" w:hAnsi="Times New Roman" w:eastAsia="仿宋_GB2312"/>
          <w:spacing w:val="-23"/>
          <w:sz w:val="32"/>
          <w:szCs w:val="32"/>
        </w:rPr>
        <w:t>省农业农村厅园艺特产处</w:t>
      </w:r>
      <w:r>
        <w:rPr>
          <w:rFonts w:ascii="Times New Roman" w:hAnsi="Times New Roman" w:eastAsia="仿宋_GB2312"/>
          <w:sz w:val="32"/>
          <w:szCs w:val="32"/>
        </w:rPr>
        <w:t xml:space="preserve">    曹琳琳 0431-88910523</w:t>
      </w:r>
    </w:p>
    <w:p w14:paraId="353AA8D5">
      <w:pPr>
        <w:spacing w:line="600" w:lineRule="exact"/>
        <w:ind w:firstLine="640" w:firstLineChars="200"/>
        <w:outlineLvl w:val="0"/>
        <w:rPr>
          <w:rFonts w:ascii="Times New Roman" w:hAnsi="Times New Roman" w:eastAsia="仿宋_GB2312"/>
          <w:sz w:val="32"/>
          <w:szCs w:val="32"/>
        </w:rPr>
      </w:pPr>
    </w:p>
    <w:p w14:paraId="776AD987">
      <w:pPr>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吉林省绿色高产高效行动专家组</w:t>
      </w:r>
    </w:p>
    <w:p w14:paraId="4EA1D943">
      <w:pPr>
        <w:pStyle w:val="2"/>
        <w:spacing w:after="0"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整建制推进县及节水增粮推进县名单</w:t>
      </w:r>
    </w:p>
    <w:p w14:paraId="18ECB764">
      <w:pPr>
        <w:pStyle w:val="2"/>
        <w:rPr>
          <w:rFonts w:ascii="Times New Roman" w:hAnsi="Times New Roman" w:eastAsia="仿宋_GB2312"/>
          <w:sz w:val="32"/>
          <w:szCs w:val="32"/>
        </w:rPr>
      </w:pPr>
    </w:p>
    <w:p w14:paraId="3077DE7A">
      <w:pPr>
        <w:pStyle w:val="2"/>
        <w:rPr>
          <w:rFonts w:ascii="Times New Roman" w:hAnsi="Times New Roman" w:eastAsia="仿宋_GB2312"/>
          <w:sz w:val="32"/>
          <w:szCs w:val="32"/>
        </w:rPr>
      </w:pPr>
    </w:p>
    <w:p w14:paraId="1AFD303E">
      <w:pPr>
        <w:pStyle w:val="2"/>
        <w:rPr>
          <w:rFonts w:ascii="Times New Roman" w:hAnsi="Times New Roman"/>
        </w:rPr>
        <w:sectPr>
          <w:footerReference r:id="rId3" w:type="even"/>
          <w:pgSz w:w="11906" w:h="16838"/>
          <w:pgMar w:top="1701" w:right="1417" w:bottom="1701" w:left="1417" w:header="851" w:footer="992" w:gutter="0"/>
          <w:cols w:space="720" w:num="1"/>
          <w:docGrid w:linePitch="312" w:charSpace="0"/>
        </w:sectPr>
      </w:pPr>
    </w:p>
    <w:p w14:paraId="1A38CBD4">
      <w:pPr>
        <w:spacing w:line="600" w:lineRule="exact"/>
        <w:rPr>
          <w:rFonts w:ascii="Times New Roman" w:hAnsi="Times New Roman" w:eastAsia="黑体"/>
          <w:sz w:val="32"/>
        </w:rPr>
      </w:pPr>
      <w:r>
        <w:rPr>
          <w:rFonts w:ascii="Times New Roman" w:hAnsi="Times New Roman" w:eastAsia="黑体"/>
          <w:sz w:val="32"/>
        </w:rPr>
        <w:t>附件1</w:t>
      </w:r>
    </w:p>
    <w:p w14:paraId="7BEC4A23">
      <w:pPr>
        <w:spacing w:before="312" w:beforeLines="100" w:after="312" w:afterLines="100" w:line="600" w:lineRule="exact"/>
        <w:jc w:val="center"/>
        <w:rPr>
          <w:rFonts w:ascii="Times New Roman" w:hAnsi="Times New Roman" w:eastAsia="仿宋_GB2312"/>
          <w:sz w:val="36"/>
          <w:szCs w:val="36"/>
        </w:rPr>
      </w:pPr>
      <w:r>
        <w:rPr>
          <w:rFonts w:ascii="Times New Roman" w:hAnsi="Times New Roman" w:eastAsia="方正小标宋_GBK"/>
          <w:sz w:val="44"/>
          <w:szCs w:val="44"/>
        </w:rPr>
        <w:t>吉林省绿色高产高效行动专家组</w:t>
      </w:r>
    </w:p>
    <w:p w14:paraId="67900999">
      <w:pPr>
        <w:spacing w:line="580" w:lineRule="exact"/>
        <w:ind w:firstLine="640" w:firstLineChars="200"/>
        <w:rPr>
          <w:rFonts w:ascii="Times New Roman" w:hAnsi="Times New Roman"/>
        </w:rPr>
      </w:pPr>
      <w:r>
        <w:rPr>
          <w:rFonts w:ascii="Times New Roman" w:hAnsi="Times New Roman" w:eastAsia="仿宋_GB2312"/>
          <w:sz w:val="32"/>
          <w:szCs w:val="32"/>
        </w:rPr>
        <w:t>组  长：王立春   省农业科学院            研究员</w:t>
      </w:r>
    </w:p>
    <w:p w14:paraId="065FC800">
      <w:pPr>
        <w:pStyle w:val="2"/>
        <w:spacing w:after="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副组长：史宏伟   省农业技术推广总站      研究员</w:t>
      </w:r>
    </w:p>
    <w:p w14:paraId="2CFBE1A0">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李忠和   省农业科学院            研究员</w:t>
      </w:r>
    </w:p>
    <w:p w14:paraId="3F774B9D">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温嘉伟   省农业科学院            研究员</w:t>
      </w:r>
    </w:p>
    <w:p w14:paraId="267A188D">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邵玺文   吉林农业大学            教  授</w:t>
      </w:r>
    </w:p>
    <w:p w14:paraId="742AC64C">
      <w:pPr>
        <w:pStyle w:val="2"/>
        <w:spacing w:after="0" w:line="580" w:lineRule="exact"/>
        <w:ind w:firstLine="1920" w:firstLineChars="600"/>
        <w:rPr>
          <w:rFonts w:ascii="Times New Roman" w:hAnsi="Times New Roman" w:eastAsia="仿宋_GB2312"/>
          <w:spacing w:val="-20"/>
          <w:sz w:val="32"/>
          <w:szCs w:val="32"/>
        </w:rPr>
      </w:pPr>
      <w:r>
        <w:rPr>
          <w:rFonts w:ascii="Times New Roman" w:hAnsi="Times New Roman" w:eastAsia="仿宋_GB2312"/>
          <w:sz w:val="32"/>
          <w:szCs w:val="32"/>
        </w:rPr>
        <w:t>杨明来   吉林农业大学            研究员</w:t>
      </w:r>
    </w:p>
    <w:p w14:paraId="28F32924">
      <w:pPr>
        <w:pStyle w:val="2"/>
        <w:spacing w:after="0" w:line="58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成  员：崔金虎   吉林大学                教  授</w:t>
      </w:r>
    </w:p>
    <w:p w14:paraId="03FD42A7">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黄  威   省农业科学院玉米所      研究员</w:t>
      </w:r>
    </w:p>
    <w:p w14:paraId="5B43597D">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侯立刚   省农业科学院水稻所      研究员</w:t>
      </w:r>
    </w:p>
    <w:p w14:paraId="6367113E">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蒋洪蔚   省农业科学院大豆所      研究员</w:t>
      </w:r>
    </w:p>
    <w:p w14:paraId="21825B79">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曹铁华   省农业科学院花生所      研究员</w:t>
      </w:r>
    </w:p>
    <w:p w14:paraId="68527F28">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蔡红光   省农业科学院资环所      研究员</w:t>
      </w:r>
    </w:p>
    <w:p w14:paraId="29D121BD">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耿艳秋   吉林农业大学            教  授</w:t>
      </w:r>
    </w:p>
    <w:p w14:paraId="23F5B5D0">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谷  岩   吉林农业大学            教  授</w:t>
      </w:r>
    </w:p>
    <w:p w14:paraId="71FF287C">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姚  丹   吉林农业大学            教  授</w:t>
      </w:r>
    </w:p>
    <w:p w14:paraId="4A526EB7">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张  君   吉林农业大学            教  授</w:t>
      </w:r>
    </w:p>
    <w:p w14:paraId="56320D87">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高  强   吉林农业大学            教  授</w:t>
      </w:r>
    </w:p>
    <w:p w14:paraId="137E7C66">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关淑艳   吉林农业大学            教  授</w:t>
      </w:r>
    </w:p>
    <w:p w14:paraId="386F3075">
      <w:pPr>
        <w:pStyle w:val="2"/>
        <w:spacing w:after="0" w:line="58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陈晓林   省参茸办公室            研究员</w:t>
      </w:r>
    </w:p>
    <w:p w14:paraId="4AC287AD">
      <w:pPr>
        <w:pStyle w:val="2"/>
        <w:spacing w:after="0" w:line="580" w:lineRule="exact"/>
        <w:ind w:firstLine="1920" w:firstLineChars="600"/>
        <w:rPr>
          <w:rFonts w:ascii="Times New Roman" w:hAnsi="Times New Roman" w:eastAsia="黑体"/>
          <w:sz w:val="32"/>
        </w:rPr>
      </w:pPr>
      <w:r>
        <w:rPr>
          <w:rFonts w:ascii="Times New Roman" w:hAnsi="Times New Roman" w:eastAsia="仿宋_GB2312"/>
          <w:sz w:val="32"/>
          <w:szCs w:val="32"/>
        </w:rPr>
        <w:t xml:space="preserve">王剑锋   </w:t>
      </w:r>
      <w:r>
        <w:rPr>
          <w:rFonts w:ascii="Times New Roman" w:hAnsi="Times New Roman" w:eastAsia="仿宋_GB2312"/>
          <w:position w:val="-1"/>
          <w:sz w:val="32"/>
          <w:szCs w:val="32"/>
        </w:rPr>
        <w:t>省蔬菜花卉研究院        研究员</w:t>
      </w:r>
    </w:p>
    <w:p w14:paraId="257D66D8">
      <w:pPr>
        <w:spacing w:line="600" w:lineRule="exact"/>
        <w:rPr>
          <w:rFonts w:ascii="Times New Roman" w:hAnsi="Times New Roman" w:eastAsia="方正小标宋_GBK"/>
          <w:sz w:val="44"/>
          <w:szCs w:val="44"/>
        </w:rPr>
      </w:pPr>
      <w:r>
        <w:rPr>
          <w:rFonts w:ascii="Times New Roman" w:hAnsi="Times New Roman" w:eastAsia="黑体"/>
          <w:sz w:val="32"/>
        </w:rPr>
        <w:t>附件2</w:t>
      </w:r>
    </w:p>
    <w:p w14:paraId="243A2E12">
      <w:pPr>
        <w:pStyle w:val="2"/>
        <w:spacing w:line="600" w:lineRule="exact"/>
        <w:rPr>
          <w:rFonts w:ascii="Times New Roman" w:hAnsi="Times New Roman" w:eastAsia="方正小标宋_GBK"/>
          <w:sz w:val="44"/>
          <w:szCs w:val="44"/>
        </w:rPr>
      </w:pPr>
    </w:p>
    <w:p w14:paraId="4D43A4EB">
      <w:pPr>
        <w:pStyle w:val="2"/>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2025年整建制推进县及节水增粮推进县名单</w:t>
      </w:r>
    </w:p>
    <w:p w14:paraId="007FBE87">
      <w:pPr>
        <w:pStyle w:val="2"/>
        <w:spacing w:line="600" w:lineRule="exact"/>
        <w:jc w:val="center"/>
        <w:rPr>
          <w:rFonts w:ascii="Times New Roman" w:hAnsi="Times New Roman" w:eastAsia="方正小标宋_GBK"/>
          <w:sz w:val="44"/>
          <w:szCs w:val="44"/>
        </w:rPr>
      </w:pPr>
    </w:p>
    <w:tbl>
      <w:tblPr>
        <w:tblStyle w:val="11"/>
        <w:tblW w:w="4825" w:type="pct"/>
        <w:tblInd w:w="171" w:type="dxa"/>
        <w:tblLayout w:type="fixed"/>
        <w:tblCellMar>
          <w:top w:w="0" w:type="dxa"/>
          <w:left w:w="108" w:type="dxa"/>
          <w:bottom w:w="0" w:type="dxa"/>
          <w:right w:w="108" w:type="dxa"/>
        </w:tblCellMar>
      </w:tblPr>
      <w:tblGrid>
        <w:gridCol w:w="3130"/>
        <w:gridCol w:w="5833"/>
      </w:tblGrid>
      <w:tr w14:paraId="11C612F1">
        <w:tblPrEx>
          <w:tblCellMar>
            <w:top w:w="0" w:type="dxa"/>
            <w:left w:w="108" w:type="dxa"/>
            <w:bottom w:w="0" w:type="dxa"/>
            <w:right w:w="108" w:type="dxa"/>
          </w:tblCellMar>
        </w:tblPrEx>
        <w:trPr>
          <w:trHeight w:val="920" w:hRule="atLeast"/>
        </w:trPr>
        <w:tc>
          <w:tcPr>
            <w:tcW w:w="1746" w:type="pct"/>
            <w:tcBorders>
              <w:top w:val="single" w:color="000000" w:sz="4" w:space="0"/>
              <w:left w:val="single" w:color="000000" w:sz="4" w:space="0"/>
              <w:bottom w:val="single" w:color="000000" w:sz="4" w:space="0"/>
              <w:right w:val="single" w:color="000000" w:sz="4" w:space="0"/>
            </w:tcBorders>
            <w:vAlign w:val="center"/>
          </w:tcPr>
          <w:p w14:paraId="492DD2BE">
            <w:pPr>
              <w:widowControl/>
              <w:jc w:val="center"/>
              <w:textAlignment w:val="center"/>
              <w:rPr>
                <w:rFonts w:ascii="Times New Roman" w:hAnsi="Times New Roman" w:eastAsia="黑体"/>
                <w:color w:val="404040"/>
                <w:sz w:val="32"/>
                <w:szCs w:val="32"/>
              </w:rPr>
            </w:pPr>
            <w:r>
              <w:rPr>
                <w:rFonts w:ascii="Times New Roman" w:hAnsi="Times New Roman" w:eastAsia="黑体"/>
                <w:color w:val="404040"/>
                <w:kern w:val="0"/>
                <w:sz w:val="32"/>
                <w:szCs w:val="32"/>
                <w:lang w:bidi="ar"/>
              </w:rPr>
              <w:t>项目名称</w:t>
            </w:r>
          </w:p>
        </w:tc>
        <w:tc>
          <w:tcPr>
            <w:tcW w:w="3253" w:type="pct"/>
            <w:tcBorders>
              <w:top w:val="single" w:color="000000" w:sz="4" w:space="0"/>
              <w:left w:val="single" w:color="000000" w:sz="4" w:space="0"/>
              <w:bottom w:val="single" w:color="000000" w:sz="4" w:space="0"/>
              <w:right w:val="single" w:color="000000" w:sz="4" w:space="0"/>
            </w:tcBorders>
            <w:vAlign w:val="center"/>
          </w:tcPr>
          <w:p w14:paraId="6B05A3E4">
            <w:pPr>
              <w:widowControl/>
              <w:jc w:val="center"/>
              <w:textAlignment w:val="center"/>
              <w:rPr>
                <w:rFonts w:ascii="Times New Roman" w:hAnsi="Times New Roman" w:eastAsia="黑体"/>
                <w:color w:val="000000"/>
                <w:sz w:val="32"/>
                <w:szCs w:val="32"/>
              </w:rPr>
            </w:pPr>
            <w:r>
              <w:rPr>
                <w:rFonts w:ascii="Times New Roman" w:hAnsi="Times New Roman" w:eastAsia="黑体"/>
                <w:color w:val="000000"/>
                <w:kern w:val="0"/>
                <w:sz w:val="32"/>
                <w:szCs w:val="32"/>
                <w:lang w:bidi="ar"/>
              </w:rPr>
              <w:t>县（市、区）</w:t>
            </w:r>
          </w:p>
        </w:tc>
      </w:tr>
      <w:tr w14:paraId="3762E6C3">
        <w:tblPrEx>
          <w:tblCellMar>
            <w:top w:w="0" w:type="dxa"/>
            <w:left w:w="108" w:type="dxa"/>
            <w:bottom w:w="0" w:type="dxa"/>
            <w:right w:w="108" w:type="dxa"/>
          </w:tblCellMar>
        </w:tblPrEx>
        <w:trPr>
          <w:trHeight w:val="2821" w:hRule="atLeast"/>
        </w:trPr>
        <w:tc>
          <w:tcPr>
            <w:tcW w:w="1746" w:type="pct"/>
            <w:tcBorders>
              <w:top w:val="single" w:color="000000" w:sz="4" w:space="0"/>
              <w:left w:val="single" w:color="000000" w:sz="4" w:space="0"/>
              <w:bottom w:val="single" w:color="000000" w:sz="4" w:space="0"/>
              <w:right w:val="single" w:color="000000" w:sz="4" w:space="0"/>
            </w:tcBorders>
            <w:vAlign w:val="center"/>
          </w:tcPr>
          <w:p w14:paraId="064AA10E">
            <w:pPr>
              <w:widowControl/>
              <w:spacing w:line="500" w:lineRule="exact"/>
              <w:jc w:val="center"/>
              <w:textAlignment w:val="center"/>
              <w:rPr>
                <w:rFonts w:ascii="Times New Roman" w:hAnsi="Times New Roman"/>
                <w:color w:val="404040"/>
                <w:sz w:val="28"/>
                <w:szCs w:val="28"/>
              </w:rPr>
            </w:pPr>
            <w:r>
              <w:rPr>
                <w:rStyle w:val="17"/>
                <w:rFonts w:ascii="Times New Roman" w:hAnsi="Times New Roman" w:eastAsia="仿宋_GB2312" w:cs="Times New Roman"/>
                <w:lang w:bidi="ar"/>
              </w:rPr>
              <w:t>玉米整建制推进县</w:t>
            </w:r>
            <w:r>
              <w:rPr>
                <w:rStyle w:val="21"/>
                <w:sz w:val="28"/>
                <w:szCs w:val="28"/>
                <w:lang w:bidi="ar"/>
              </w:rPr>
              <w:br w:type="textWrapping"/>
            </w:r>
            <w:r>
              <w:rPr>
                <w:rStyle w:val="17"/>
                <w:rFonts w:ascii="Times New Roman" w:hAnsi="Times New Roman" w:cs="Times New Roman"/>
                <w:lang w:bidi="ar"/>
              </w:rPr>
              <w:t>（</w:t>
            </w:r>
            <w:r>
              <w:rPr>
                <w:rStyle w:val="21"/>
                <w:sz w:val="28"/>
                <w:szCs w:val="28"/>
                <w:lang w:bidi="ar"/>
              </w:rPr>
              <w:t>19</w:t>
            </w:r>
            <w:r>
              <w:rPr>
                <w:rStyle w:val="17"/>
                <w:rFonts w:ascii="Times New Roman" w:hAnsi="Times New Roman" w:cs="Times New Roman"/>
                <w:lang w:bidi="ar"/>
              </w:rPr>
              <w:t>个）</w:t>
            </w:r>
          </w:p>
        </w:tc>
        <w:tc>
          <w:tcPr>
            <w:tcW w:w="3253" w:type="pct"/>
            <w:tcBorders>
              <w:top w:val="single" w:color="000000" w:sz="4" w:space="0"/>
              <w:left w:val="single" w:color="000000" w:sz="4" w:space="0"/>
              <w:bottom w:val="single" w:color="000000" w:sz="4" w:space="0"/>
              <w:right w:val="single" w:color="000000" w:sz="4" w:space="0"/>
            </w:tcBorders>
            <w:vAlign w:val="center"/>
          </w:tcPr>
          <w:p w14:paraId="436B56DE">
            <w:pPr>
              <w:widowControl/>
              <w:spacing w:line="5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长岭县、德惠市、乾安县、洮南市、</w:t>
            </w:r>
          </w:p>
          <w:p w14:paraId="341A8833">
            <w:pPr>
              <w:widowControl/>
              <w:spacing w:line="5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双辽市、桦甸市、东丰县、大安市、</w:t>
            </w:r>
          </w:p>
          <w:p w14:paraId="7FA902BA">
            <w:pPr>
              <w:widowControl/>
              <w:spacing w:line="5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镇赉县、东辽县、洮北区、柳河县、</w:t>
            </w:r>
          </w:p>
          <w:p w14:paraId="78DA90F5">
            <w:pPr>
              <w:widowControl/>
              <w:spacing w:line="5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永吉县、辉南县、双阳区、公主岭市、</w:t>
            </w:r>
          </w:p>
          <w:p w14:paraId="04AAEED6">
            <w:pPr>
              <w:widowControl/>
              <w:spacing w:line="500" w:lineRule="exact"/>
              <w:jc w:val="center"/>
              <w:textAlignment w:val="center"/>
              <w:rPr>
                <w:rFonts w:ascii="Times New Roman" w:hAnsi="Times New Roman"/>
                <w:color w:val="000000"/>
                <w:sz w:val="28"/>
                <w:szCs w:val="28"/>
              </w:rPr>
            </w:pPr>
            <w:r>
              <w:rPr>
                <w:rFonts w:ascii="Times New Roman" w:hAnsi="Times New Roman" w:eastAsia="仿宋_GB2312"/>
                <w:sz w:val="28"/>
                <w:szCs w:val="28"/>
              </w:rPr>
              <w:t>梨树县、扶余市、通榆县</w:t>
            </w:r>
          </w:p>
        </w:tc>
      </w:tr>
      <w:tr w14:paraId="2803383A">
        <w:tblPrEx>
          <w:tblCellMar>
            <w:top w:w="0" w:type="dxa"/>
            <w:left w:w="108" w:type="dxa"/>
            <w:bottom w:w="0" w:type="dxa"/>
            <w:right w:w="108" w:type="dxa"/>
          </w:tblCellMar>
        </w:tblPrEx>
        <w:trPr>
          <w:trHeight w:val="1545" w:hRule="atLeast"/>
        </w:trPr>
        <w:tc>
          <w:tcPr>
            <w:tcW w:w="1746" w:type="pct"/>
            <w:tcBorders>
              <w:top w:val="single" w:color="000000" w:sz="4" w:space="0"/>
              <w:left w:val="single" w:color="000000" w:sz="4" w:space="0"/>
              <w:bottom w:val="single" w:color="000000" w:sz="4" w:space="0"/>
              <w:right w:val="single" w:color="000000" w:sz="4" w:space="0"/>
            </w:tcBorders>
            <w:vAlign w:val="center"/>
          </w:tcPr>
          <w:p w14:paraId="43D14E40">
            <w:pPr>
              <w:widowControl/>
              <w:spacing w:line="500" w:lineRule="exact"/>
              <w:jc w:val="center"/>
              <w:textAlignment w:val="center"/>
              <w:rPr>
                <w:rFonts w:ascii="Times New Roman" w:hAnsi="Times New Roman"/>
                <w:color w:val="404040"/>
                <w:sz w:val="28"/>
                <w:szCs w:val="28"/>
              </w:rPr>
            </w:pPr>
            <w:r>
              <w:rPr>
                <w:rStyle w:val="17"/>
                <w:rFonts w:ascii="Times New Roman" w:hAnsi="Times New Roman" w:eastAsia="仿宋_GB2312" w:cs="Times New Roman"/>
                <w:lang w:bidi="ar"/>
              </w:rPr>
              <w:t>大豆整建制推进县</w:t>
            </w:r>
            <w:r>
              <w:rPr>
                <w:rStyle w:val="17"/>
                <w:rFonts w:ascii="Times New Roman" w:hAnsi="Times New Roman" w:eastAsia="仿宋_GB2312" w:cs="Times New Roman"/>
                <w:lang w:bidi="ar"/>
              </w:rPr>
              <w:br w:type="textWrapping"/>
            </w:r>
            <w:r>
              <w:rPr>
                <w:rStyle w:val="17"/>
                <w:rFonts w:ascii="Times New Roman" w:hAnsi="Times New Roman" w:eastAsia="仿宋_GB2312" w:cs="Times New Roman"/>
                <w:lang w:bidi="ar"/>
              </w:rPr>
              <w:t>（4个）</w:t>
            </w:r>
          </w:p>
        </w:tc>
        <w:tc>
          <w:tcPr>
            <w:tcW w:w="3253" w:type="pct"/>
            <w:tcBorders>
              <w:top w:val="single" w:color="000000" w:sz="4" w:space="0"/>
              <w:left w:val="single" w:color="000000" w:sz="4" w:space="0"/>
              <w:bottom w:val="single" w:color="000000" w:sz="4" w:space="0"/>
              <w:right w:val="single" w:color="000000" w:sz="4" w:space="0"/>
            </w:tcBorders>
            <w:noWrap/>
            <w:vAlign w:val="center"/>
          </w:tcPr>
          <w:p w14:paraId="45F33DB8">
            <w:pPr>
              <w:widowControl/>
              <w:jc w:val="center"/>
              <w:textAlignment w:val="center"/>
              <w:rPr>
                <w:rFonts w:ascii="Times New Roman" w:hAnsi="Times New Roman"/>
                <w:color w:val="000000"/>
                <w:sz w:val="28"/>
                <w:szCs w:val="28"/>
              </w:rPr>
            </w:pPr>
            <w:r>
              <w:rPr>
                <w:rFonts w:ascii="Times New Roman" w:hAnsi="Times New Roman" w:eastAsia="仿宋_GB2312"/>
                <w:sz w:val="28"/>
                <w:szCs w:val="28"/>
              </w:rPr>
              <w:t>蛟河市、前郭县、通榆县、敦化市</w:t>
            </w:r>
          </w:p>
        </w:tc>
      </w:tr>
      <w:tr w14:paraId="1B83EFAD">
        <w:tblPrEx>
          <w:tblCellMar>
            <w:top w:w="0" w:type="dxa"/>
            <w:left w:w="108" w:type="dxa"/>
            <w:bottom w:w="0" w:type="dxa"/>
            <w:right w:w="108" w:type="dxa"/>
          </w:tblCellMar>
        </w:tblPrEx>
        <w:trPr>
          <w:trHeight w:val="1545" w:hRule="atLeast"/>
        </w:trPr>
        <w:tc>
          <w:tcPr>
            <w:tcW w:w="1746" w:type="pct"/>
            <w:tcBorders>
              <w:top w:val="single" w:color="000000" w:sz="4" w:space="0"/>
              <w:left w:val="single" w:color="000000" w:sz="4" w:space="0"/>
              <w:bottom w:val="single" w:color="000000" w:sz="4" w:space="0"/>
              <w:right w:val="single" w:color="000000" w:sz="4" w:space="0"/>
            </w:tcBorders>
            <w:vAlign w:val="center"/>
          </w:tcPr>
          <w:p w14:paraId="737DF108">
            <w:pPr>
              <w:widowControl/>
              <w:spacing w:line="500" w:lineRule="exact"/>
              <w:jc w:val="center"/>
              <w:textAlignment w:val="center"/>
              <w:rPr>
                <w:rStyle w:val="17"/>
                <w:rFonts w:ascii="Times New Roman" w:hAnsi="Times New Roman" w:eastAsia="仿宋_GB2312" w:cs="Times New Roman"/>
                <w:lang w:bidi="ar"/>
              </w:rPr>
            </w:pPr>
            <w:r>
              <w:rPr>
                <w:rStyle w:val="17"/>
                <w:rFonts w:ascii="Times New Roman" w:hAnsi="Times New Roman" w:eastAsia="仿宋_GB2312" w:cs="Times New Roman"/>
                <w:lang w:bidi="ar"/>
              </w:rPr>
              <w:t>水稻整建制推进县</w:t>
            </w:r>
          </w:p>
          <w:p w14:paraId="45C6D1BF">
            <w:pPr>
              <w:widowControl/>
              <w:spacing w:line="500" w:lineRule="exact"/>
              <w:jc w:val="center"/>
              <w:textAlignment w:val="center"/>
              <w:rPr>
                <w:rFonts w:ascii="Times New Roman" w:hAnsi="Times New Roman"/>
                <w:sz w:val="28"/>
                <w:szCs w:val="28"/>
              </w:rPr>
            </w:pPr>
            <w:r>
              <w:rPr>
                <w:rStyle w:val="17"/>
                <w:rFonts w:ascii="Times New Roman" w:hAnsi="Times New Roman" w:cs="Times New Roman"/>
                <w:lang w:bidi="ar"/>
              </w:rPr>
              <w:t>（3个）</w:t>
            </w:r>
          </w:p>
        </w:tc>
        <w:tc>
          <w:tcPr>
            <w:tcW w:w="3253" w:type="pct"/>
            <w:tcBorders>
              <w:top w:val="single" w:color="000000" w:sz="4" w:space="0"/>
              <w:left w:val="single" w:color="000000" w:sz="4" w:space="0"/>
              <w:bottom w:val="single" w:color="000000" w:sz="4" w:space="0"/>
              <w:right w:val="single" w:color="000000" w:sz="4" w:space="0"/>
            </w:tcBorders>
            <w:noWrap/>
            <w:vAlign w:val="center"/>
          </w:tcPr>
          <w:p w14:paraId="6BDD9085">
            <w:pPr>
              <w:widowControl/>
              <w:jc w:val="center"/>
              <w:textAlignment w:val="center"/>
              <w:rPr>
                <w:rFonts w:ascii="Times New Roman" w:hAnsi="Times New Roman"/>
                <w:color w:val="000000"/>
                <w:sz w:val="28"/>
                <w:szCs w:val="28"/>
              </w:rPr>
            </w:pPr>
            <w:r>
              <w:rPr>
                <w:rStyle w:val="17"/>
                <w:rFonts w:ascii="Times New Roman" w:hAnsi="Times New Roman" w:eastAsia="仿宋_GB2312" w:cs="Times New Roman"/>
                <w:lang w:bidi="ar"/>
              </w:rPr>
              <w:t>榆树市、舒兰市、梅河口市</w:t>
            </w:r>
          </w:p>
        </w:tc>
      </w:tr>
      <w:tr w14:paraId="6F05D852">
        <w:tblPrEx>
          <w:tblCellMar>
            <w:top w:w="0" w:type="dxa"/>
            <w:left w:w="108" w:type="dxa"/>
            <w:bottom w:w="0" w:type="dxa"/>
            <w:right w:w="108" w:type="dxa"/>
          </w:tblCellMar>
        </w:tblPrEx>
        <w:trPr>
          <w:trHeight w:val="1545" w:hRule="atLeast"/>
        </w:trPr>
        <w:tc>
          <w:tcPr>
            <w:tcW w:w="1746" w:type="pct"/>
            <w:tcBorders>
              <w:top w:val="single" w:color="000000" w:sz="4" w:space="0"/>
              <w:left w:val="single" w:color="000000" w:sz="4" w:space="0"/>
              <w:bottom w:val="single" w:color="000000" w:sz="4" w:space="0"/>
              <w:right w:val="single" w:color="000000" w:sz="4" w:space="0"/>
            </w:tcBorders>
            <w:vAlign w:val="center"/>
          </w:tcPr>
          <w:p w14:paraId="4B587243">
            <w:pPr>
              <w:widowControl/>
              <w:spacing w:line="500" w:lineRule="exact"/>
              <w:jc w:val="center"/>
              <w:textAlignment w:val="center"/>
              <w:rPr>
                <w:rStyle w:val="17"/>
                <w:rFonts w:ascii="Times New Roman" w:hAnsi="Times New Roman" w:eastAsia="仿宋_GB2312" w:cs="Times New Roman"/>
                <w:lang w:bidi="ar"/>
              </w:rPr>
            </w:pPr>
            <w:r>
              <w:rPr>
                <w:rStyle w:val="17"/>
                <w:rFonts w:ascii="Times New Roman" w:hAnsi="Times New Roman" w:eastAsia="仿宋_GB2312" w:cs="Times New Roman"/>
                <w:lang w:bidi="ar"/>
              </w:rPr>
              <w:t>节水增粮推进县</w:t>
            </w:r>
            <w:r>
              <w:rPr>
                <w:rStyle w:val="17"/>
                <w:rFonts w:ascii="Times New Roman" w:hAnsi="Times New Roman" w:eastAsia="仿宋_GB2312" w:cs="Times New Roman"/>
                <w:lang w:bidi="ar"/>
              </w:rPr>
              <w:br w:type="textWrapping"/>
            </w:r>
            <w:r>
              <w:rPr>
                <w:rStyle w:val="17"/>
                <w:rFonts w:ascii="Times New Roman" w:hAnsi="Times New Roman" w:cs="Times New Roman"/>
                <w:lang w:bidi="ar"/>
              </w:rPr>
              <w:t>（</w:t>
            </w:r>
            <w:r>
              <w:rPr>
                <w:rStyle w:val="21"/>
                <w:sz w:val="28"/>
                <w:szCs w:val="28"/>
                <w:lang w:bidi="ar"/>
              </w:rPr>
              <w:t>6</w:t>
            </w:r>
            <w:r>
              <w:rPr>
                <w:rStyle w:val="17"/>
                <w:rFonts w:ascii="Times New Roman" w:hAnsi="Times New Roman" w:cs="Times New Roman"/>
                <w:lang w:bidi="ar"/>
              </w:rPr>
              <w:t>个）</w:t>
            </w:r>
          </w:p>
        </w:tc>
        <w:tc>
          <w:tcPr>
            <w:tcW w:w="3253" w:type="pct"/>
            <w:tcBorders>
              <w:top w:val="single" w:color="000000" w:sz="4" w:space="0"/>
              <w:left w:val="single" w:color="000000" w:sz="4" w:space="0"/>
              <w:bottom w:val="single" w:color="000000" w:sz="4" w:space="0"/>
              <w:right w:val="single" w:color="000000" w:sz="4" w:space="0"/>
            </w:tcBorders>
            <w:noWrap/>
            <w:vAlign w:val="center"/>
          </w:tcPr>
          <w:p w14:paraId="5DB052A0">
            <w:pPr>
              <w:widowControl/>
              <w:spacing w:line="5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乾安县、双辽市、洮北区、</w:t>
            </w:r>
          </w:p>
          <w:p w14:paraId="3433B7A2">
            <w:pPr>
              <w:widowControl/>
              <w:spacing w:line="500" w:lineRule="exact"/>
              <w:jc w:val="center"/>
              <w:textAlignment w:val="center"/>
              <w:rPr>
                <w:rFonts w:ascii="Times New Roman" w:hAnsi="Times New Roman"/>
                <w:sz w:val="28"/>
                <w:szCs w:val="28"/>
              </w:rPr>
            </w:pPr>
            <w:r>
              <w:rPr>
                <w:rFonts w:ascii="Times New Roman" w:hAnsi="Times New Roman" w:eastAsia="仿宋_GB2312"/>
                <w:sz w:val="28"/>
                <w:szCs w:val="28"/>
              </w:rPr>
              <w:t>洮南市、大安市、通榆县</w:t>
            </w:r>
          </w:p>
        </w:tc>
      </w:tr>
    </w:tbl>
    <w:p w14:paraId="02EE2EFA">
      <w:pPr>
        <w:pStyle w:val="9"/>
        <w:ind w:firstLine="0" w:firstLineChars="0"/>
      </w:pPr>
    </w:p>
    <w:p w14:paraId="66348E51">
      <w:pPr>
        <w:pStyle w:val="2"/>
      </w:pPr>
    </w:p>
    <w:sectPr>
      <w:footerReference r:id="rId4" w:type="default"/>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0A05">
    <w:pPr>
      <w:pStyle w:val="6"/>
      <w:framePr w:wrap="around" w:vAnchor="text" w:hAnchor="margin" w:xAlign="center" w:y="1"/>
      <w:rPr>
        <w:rStyle w:val="13"/>
      </w:rPr>
    </w:pPr>
    <w:r>
      <w:fldChar w:fldCharType="begin"/>
    </w:r>
    <w:r>
      <w:rPr>
        <w:rStyle w:val="13"/>
      </w:rPr>
      <w:instrText xml:space="preserve">PAGE  </w:instrText>
    </w:r>
    <w:r>
      <w:fldChar w:fldCharType="end"/>
    </w:r>
  </w:p>
  <w:p w14:paraId="6362D65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A33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69CF1">
                          <w:pPr>
                            <w:pStyle w:val="6"/>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369CF1">
                    <w:pPr>
                      <w:pStyle w:val="6"/>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jY2ODc4ZDIxYjE5ODFiOWZkOWFlNDUwNjViOTAifQ=="/>
  </w:docVars>
  <w:rsids>
    <w:rsidRoot w:val="001E6E75"/>
    <w:rsid w:val="000107E3"/>
    <w:rsid w:val="0007007B"/>
    <w:rsid w:val="00136CB1"/>
    <w:rsid w:val="001E6E75"/>
    <w:rsid w:val="002C65F7"/>
    <w:rsid w:val="003D7B65"/>
    <w:rsid w:val="003F6D35"/>
    <w:rsid w:val="00471DFC"/>
    <w:rsid w:val="007B28AF"/>
    <w:rsid w:val="007D5A45"/>
    <w:rsid w:val="00A17391"/>
    <w:rsid w:val="00A40214"/>
    <w:rsid w:val="00B32EBF"/>
    <w:rsid w:val="00C24787"/>
    <w:rsid w:val="00C975C8"/>
    <w:rsid w:val="00CF70D4"/>
    <w:rsid w:val="00D52D7E"/>
    <w:rsid w:val="0D766D04"/>
    <w:rsid w:val="104A1F3F"/>
    <w:rsid w:val="111E39C9"/>
    <w:rsid w:val="16FFA091"/>
    <w:rsid w:val="1B26AA34"/>
    <w:rsid w:val="1B354C24"/>
    <w:rsid w:val="1EB62256"/>
    <w:rsid w:val="1EFFE9BD"/>
    <w:rsid w:val="1FCF39CA"/>
    <w:rsid w:val="225A49DD"/>
    <w:rsid w:val="23B02DF5"/>
    <w:rsid w:val="24974DC7"/>
    <w:rsid w:val="27F7C3AC"/>
    <w:rsid w:val="2AAA0966"/>
    <w:rsid w:val="2C932FD6"/>
    <w:rsid w:val="2EF383DF"/>
    <w:rsid w:val="2F3393F2"/>
    <w:rsid w:val="2FB7616F"/>
    <w:rsid w:val="312B0F4D"/>
    <w:rsid w:val="33EF6670"/>
    <w:rsid w:val="33FF28D9"/>
    <w:rsid w:val="34EE1BF5"/>
    <w:rsid w:val="369545CE"/>
    <w:rsid w:val="369B361E"/>
    <w:rsid w:val="36BBC55B"/>
    <w:rsid w:val="3710048F"/>
    <w:rsid w:val="37BB8B03"/>
    <w:rsid w:val="3AFF5E2E"/>
    <w:rsid w:val="3BCD1E24"/>
    <w:rsid w:val="3C4A31C5"/>
    <w:rsid w:val="3CD81F30"/>
    <w:rsid w:val="3D446A31"/>
    <w:rsid w:val="3DFF0E01"/>
    <w:rsid w:val="3E356FEE"/>
    <w:rsid w:val="3EAB0813"/>
    <w:rsid w:val="3EFE4843"/>
    <w:rsid w:val="3F573194"/>
    <w:rsid w:val="3F7B76C7"/>
    <w:rsid w:val="3F984D18"/>
    <w:rsid w:val="3FC74B38"/>
    <w:rsid w:val="3FDE8C85"/>
    <w:rsid w:val="3FE98053"/>
    <w:rsid w:val="3FFDEF02"/>
    <w:rsid w:val="43DF94CD"/>
    <w:rsid w:val="44DEC947"/>
    <w:rsid w:val="458920E2"/>
    <w:rsid w:val="45D779E2"/>
    <w:rsid w:val="46D59CDA"/>
    <w:rsid w:val="47772BF7"/>
    <w:rsid w:val="477D2CD5"/>
    <w:rsid w:val="47FF7937"/>
    <w:rsid w:val="48D73ACA"/>
    <w:rsid w:val="49310549"/>
    <w:rsid w:val="4CB3E210"/>
    <w:rsid w:val="4D71490C"/>
    <w:rsid w:val="4E1F7313"/>
    <w:rsid w:val="4FA113E3"/>
    <w:rsid w:val="4FFA8517"/>
    <w:rsid w:val="4FFF7C98"/>
    <w:rsid w:val="534005F1"/>
    <w:rsid w:val="55BF947B"/>
    <w:rsid w:val="56F7538B"/>
    <w:rsid w:val="58A83F9C"/>
    <w:rsid w:val="5A6F62C1"/>
    <w:rsid w:val="5BBD4075"/>
    <w:rsid w:val="5CFD58B0"/>
    <w:rsid w:val="5DF744A0"/>
    <w:rsid w:val="5DFF983E"/>
    <w:rsid w:val="5E6BD283"/>
    <w:rsid w:val="5F3B46E1"/>
    <w:rsid w:val="5F6FEAD9"/>
    <w:rsid w:val="5F7EB073"/>
    <w:rsid w:val="5FACC1D7"/>
    <w:rsid w:val="5FBED0D7"/>
    <w:rsid w:val="5FDF63B6"/>
    <w:rsid w:val="5FED5D51"/>
    <w:rsid w:val="5FF5BB05"/>
    <w:rsid w:val="5FFE5D48"/>
    <w:rsid w:val="5FFFA3C6"/>
    <w:rsid w:val="606D2C8E"/>
    <w:rsid w:val="60F01C18"/>
    <w:rsid w:val="63BFE6E8"/>
    <w:rsid w:val="651DF2A1"/>
    <w:rsid w:val="65284461"/>
    <w:rsid w:val="655706E9"/>
    <w:rsid w:val="667D7E91"/>
    <w:rsid w:val="66D741E0"/>
    <w:rsid w:val="66E63727"/>
    <w:rsid w:val="6735FF40"/>
    <w:rsid w:val="67EFD4AE"/>
    <w:rsid w:val="6BCF0EC8"/>
    <w:rsid w:val="6BEDCCD6"/>
    <w:rsid w:val="6BFCD02F"/>
    <w:rsid w:val="6C276CBC"/>
    <w:rsid w:val="6E79BE37"/>
    <w:rsid w:val="6ED7E4D8"/>
    <w:rsid w:val="6F3FE48C"/>
    <w:rsid w:val="6F77D6C6"/>
    <w:rsid w:val="6F9797DB"/>
    <w:rsid w:val="6FB38702"/>
    <w:rsid w:val="6FBFAB20"/>
    <w:rsid w:val="6FFC0A2D"/>
    <w:rsid w:val="6FFDC8EB"/>
    <w:rsid w:val="6FFF7013"/>
    <w:rsid w:val="70FE2D49"/>
    <w:rsid w:val="72CFD7E0"/>
    <w:rsid w:val="73D01EBE"/>
    <w:rsid w:val="73F93EB5"/>
    <w:rsid w:val="74FBF4AD"/>
    <w:rsid w:val="75DEBDD1"/>
    <w:rsid w:val="75FACB6A"/>
    <w:rsid w:val="76FD5C06"/>
    <w:rsid w:val="77A8C888"/>
    <w:rsid w:val="77BFFF7B"/>
    <w:rsid w:val="77EFE758"/>
    <w:rsid w:val="77F38A80"/>
    <w:rsid w:val="77FD6251"/>
    <w:rsid w:val="77FF2D7F"/>
    <w:rsid w:val="78EE130D"/>
    <w:rsid w:val="790A7F45"/>
    <w:rsid w:val="79D34AD5"/>
    <w:rsid w:val="7A7F3DF4"/>
    <w:rsid w:val="7AF6702E"/>
    <w:rsid w:val="7B7F377F"/>
    <w:rsid w:val="7BB4CFC7"/>
    <w:rsid w:val="7BBB8E43"/>
    <w:rsid w:val="7BEB3C29"/>
    <w:rsid w:val="7BFC7B6A"/>
    <w:rsid w:val="7C3DCF21"/>
    <w:rsid w:val="7C7F9F95"/>
    <w:rsid w:val="7C8F6BD5"/>
    <w:rsid w:val="7CFF15AF"/>
    <w:rsid w:val="7D5B4F82"/>
    <w:rsid w:val="7D7E4DDA"/>
    <w:rsid w:val="7DDD2202"/>
    <w:rsid w:val="7DDFEFFC"/>
    <w:rsid w:val="7DFB9F78"/>
    <w:rsid w:val="7DFF553D"/>
    <w:rsid w:val="7DFF6A28"/>
    <w:rsid w:val="7E56E1B7"/>
    <w:rsid w:val="7E77A9E3"/>
    <w:rsid w:val="7E7AC119"/>
    <w:rsid w:val="7EBF5C52"/>
    <w:rsid w:val="7EDE1A70"/>
    <w:rsid w:val="7EFA8024"/>
    <w:rsid w:val="7EFB5447"/>
    <w:rsid w:val="7EFBF73D"/>
    <w:rsid w:val="7EFFD19A"/>
    <w:rsid w:val="7F3D1E6A"/>
    <w:rsid w:val="7F3E1A09"/>
    <w:rsid w:val="7F6BA748"/>
    <w:rsid w:val="7F76E67F"/>
    <w:rsid w:val="7FAF0239"/>
    <w:rsid w:val="7FB02770"/>
    <w:rsid w:val="7FBFA15E"/>
    <w:rsid w:val="7FDD2C52"/>
    <w:rsid w:val="7FDE2C49"/>
    <w:rsid w:val="7FE6492C"/>
    <w:rsid w:val="7FE78F04"/>
    <w:rsid w:val="7FEE56CF"/>
    <w:rsid w:val="7FEF19C6"/>
    <w:rsid w:val="7FFA2427"/>
    <w:rsid w:val="7FFF7FDE"/>
    <w:rsid w:val="997F460F"/>
    <w:rsid w:val="9AEA5C86"/>
    <w:rsid w:val="9BFC87AB"/>
    <w:rsid w:val="9FFBB060"/>
    <w:rsid w:val="9FFE006E"/>
    <w:rsid w:val="ABBF3355"/>
    <w:rsid w:val="ACAFA477"/>
    <w:rsid w:val="AEDB7CA7"/>
    <w:rsid w:val="AFFD7FAA"/>
    <w:rsid w:val="B2A61594"/>
    <w:rsid w:val="B35F0A68"/>
    <w:rsid w:val="B67F5D6A"/>
    <w:rsid w:val="B6FF07A5"/>
    <w:rsid w:val="B775DBEE"/>
    <w:rsid w:val="B9FF59BE"/>
    <w:rsid w:val="BBD582BA"/>
    <w:rsid w:val="BBF513F4"/>
    <w:rsid w:val="BBFE38FF"/>
    <w:rsid w:val="BE3F9BC0"/>
    <w:rsid w:val="BE5D53EF"/>
    <w:rsid w:val="BF7A8E2F"/>
    <w:rsid w:val="BF7F511C"/>
    <w:rsid w:val="BFDFF9D8"/>
    <w:rsid w:val="BFFB01B9"/>
    <w:rsid w:val="C67F219A"/>
    <w:rsid w:val="CDFFFF52"/>
    <w:rsid w:val="CEED9CD5"/>
    <w:rsid w:val="CFFE3103"/>
    <w:rsid w:val="D7B774D3"/>
    <w:rsid w:val="D7FF4D71"/>
    <w:rsid w:val="D88F61B1"/>
    <w:rsid w:val="DAF6369B"/>
    <w:rsid w:val="DAFF40C3"/>
    <w:rsid w:val="DB7D2DE2"/>
    <w:rsid w:val="DBDF10BC"/>
    <w:rsid w:val="DCBB37EE"/>
    <w:rsid w:val="DD2FFC71"/>
    <w:rsid w:val="DDF710F5"/>
    <w:rsid w:val="DEEDA2BC"/>
    <w:rsid w:val="DF9D79B9"/>
    <w:rsid w:val="DFC6B072"/>
    <w:rsid w:val="DFF35337"/>
    <w:rsid w:val="DFF7615E"/>
    <w:rsid w:val="E357ABF9"/>
    <w:rsid w:val="E6DFDFB2"/>
    <w:rsid w:val="E777875E"/>
    <w:rsid w:val="E7F7AA5B"/>
    <w:rsid w:val="E8F346C0"/>
    <w:rsid w:val="EB9E2330"/>
    <w:rsid w:val="EBE79F84"/>
    <w:rsid w:val="EBFFCC0B"/>
    <w:rsid w:val="EC529781"/>
    <w:rsid w:val="ECBF541F"/>
    <w:rsid w:val="ECF9FD06"/>
    <w:rsid w:val="EF1D71E0"/>
    <w:rsid w:val="EF1F5029"/>
    <w:rsid w:val="EF4FFD34"/>
    <w:rsid w:val="EFC58764"/>
    <w:rsid w:val="EFE5520D"/>
    <w:rsid w:val="F2B76143"/>
    <w:rsid w:val="F37D5DFA"/>
    <w:rsid w:val="F3828F7C"/>
    <w:rsid w:val="F3DF11A6"/>
    <w:rsid w:val="F56B8EAF"/>
    <w:rsid w:val="F63A77D1"/>
    <w:rsid w:val="F67DBE85"/>
    <w:rsid w:val="F6FFB812"/>
    <w:rsid w:val="F7CFDD57"/>
    <w:rsid w:val="F7DE2DE9"/>
    <w:rsid w:val="F7E7CE92"/>
    <w:rsid w:val="F7E9A199"/>
    <w:rsid w:val="F8B62CBD"/>
    <w:rsid w:val="F9F7B784"/>
    <w:rsid w:val="FB7ADB60"/>
    <w:rsid w:val="FBFFA908"/>
    <w:rsid w:val="FCFC6752"/>
    <w:rsid w:val="FDDFA9D4"/>
    <w:rsid w:val="FDF27333"/>
    <w:rsid w:val="FDFF1089"/>
    <w:rsid w:val="FDFF280B"/>
    <w:rsid w:val="FDFF9043"/>
    <w:rsid w:val="FDFFF372"/>
    <w:rsid w:val="FEC6AD51"/>
    <w:rsid w:val="FEFF53D3"/>
    <w:rsid w:val="FF3C0441"/>
    <w:rsid w:val="FF3E7EA6"/>
    <w:rsid w:val="FF5F5E01"/>
    <w:rsid w:val="FF760306"/>
    <w:rsid w:val="FF7FC21C"/>
    <w:rsid w:val="FFAFC219"/>
    <w:rsid w:val="FFBF2867"/>
    <w:rsid w:val="FFCBAB7D"/>
    <w:rsid w:val="FFD39809"/>
    <w:rsid w:val="FFDD0502"/>
    <w:rsid w:val="FFDF331F"/>
    <w:rsid w:val="FFED4979"/>
    <w:rsid w:val="FFEF2BE3"/>
    <w:rsid w:val="FFF777F0"/>
    <w:rsid w:val="FFFB6C2C"/>
    <w:rsid w:val="FFFED863"/>
    <w:rsid w:val="FFFF1B1B"/>
    <w:rsid w:val="FFFFA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0"/>
    <w:pPr>
      <w:spacing w:after="120" w:line="480" w:lineRule="auto"/>
    </w:p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ody Text Inden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semiHidden/>
    <w:qFormat/>
    <w:uiPriority w:val="99"/>
    <w:pPr>
      <w:spacing w:before="100" w:beforeAutospacing="1"/>
      <w:ind w:firstLine="420" w:firstLineChars="100"/>
    </w:pPr>
    <w:rPr>
      <w:rFonts w:ascii="Times New Roman" w:hAnsi="Times New Roman"/>
      <w:sz w:val="36"/>
      <w:szCs w:val="36"/>
    </w:rPr>
  </w:style>
  <w:style w:type="paragraph" w:styleId="10">
    <w:name w:val="Body Text First Indent 2"/>
    <w:basedOn w:val="5"/>
    <w:qFormat/>
    <w:uiPriority w:val="0"/>
    <w:pPr>
      <w:spacing w:after="120"/>
      <w:ind w:left="420" w:leftChars="200" w:firstLine="200" w:firstLineChars="200"/>
    </w:pPr>
    <w:rPr>
      <w:sz w:val="24"/>
    </w:rPr>
  </w:style>
  <w:style w:type="character" w:styleId="13">
    <w:name w:val="page number"/>
    <w:basedOn w:val="12"/>
    <w:qFormat/>
    <w:uiPriority w:val="0"/>
  </w:style>
  <w:style w:type="character" w:styleId="14">
    <w:name w:val="Emphasis"/>
    <w:basedOn w:val="12"/>
    <w:qFormat/>
    <w:uiPriority w:val="0"/>
    <w:rPr>
      <w:i/>
    </w:rPr>
  </w:style>
  <w:style w:type="paragraph" w:customStyle="1" w:styleId="1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font01"/>
    <w:basedOn w:val="12"/>
    <w:qFormat/>
    <w:uiPriority w:val="0"/>
    <w:rPr>
      <w:rFonts w:hint="default" w:ascii="仿宋_GB2312" w:eastAsia="仿宋_GB2312" w:cs="仿宋_GB2312"/>
      <w:color w:val="000000"/>
      <w:sz w:val="28"/>
      <w:szCs w:val="28"/>
      <w:u w:val="none"/>
    </w:rPr>
  </w:style>
  <w:style w:type="character" w:customStyle="1" w:styleId="17">
    <w:name w:val="font71"/>
    <w:basedOn w:val="12"/>
    <w:qFormat/>
    <w:uiPriority w:val="0"/>
    <w:rPr>
      <w:rFonts w:ascii="Times New Roman Regular" w:hAnsi="Times New Roman Regular" w:eastAsia="Times New Roman Regular" w:cs="Times New Roman Regular"/>
      <w:color w:val="000000"/>
      <w:sz w:val="28"/>
      <w:szCs w:val="28"/>
      <w:u w:val="none"/>
    </w:rPr>
  </w:style>
  <w:style w:type="character" w:customStyle="1" w:styleId="18">
    <w:name w:val="font51"/>
    <w:basedOn w:val="12"/>
    <w:qFormat/>
    <w:uiPriority w:val="0"/>
    <w:rPr>
      <w:rFonts w:hint="default" w:ascii="Times New Roman Regular" w:hAnsi="Times New Roman Regular" w:eastAsia="Times New Roman Regular" w:cs="Times New Roman Regular"/>
      <w:b/>
      <w:bCs/>
      <w:color w:val="000000"/>
      <w:sz w:val="28"/>
      <w:szCs w:val="28"/>
      <w:u w:val="none"/>
    </w:rPr>
  </w:style>
  <w:style w:type="character" w:customStyle="1" w:styleId="19">
    <w:name w:val="font31"/>
    <w:basedOn w:val="12"/>
    <w:qFormat/>
    <w:uiPriority w:val="0"/>
    <w:rPr>
      <w:rFonts w:hint="default" w:ascii="仿宋_GB2312" w:eastAsia="仿宋_GB2312" w:cs="仿宋_GB2312"/>
      <w:b/>
      <w:bCs/>
      <w:color w:val="000000"/>
      <w:sz w:val="28"/>
      <w:szCs w:val="28"/>
      <w:u w:val="none"/>
    </w:rPr>
  </w:style>
  <w:style w:type="paragraph" w:customStyle="1" w:styleId="20">
    <w:name w:val="Char Char3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21">
    <w:name w:val="font11"/>
    <w:basedOn w:val="12"/>
    <w:qFormat/>
    <w:uiPriority w:val="0"/>
    <w:rPr>
      <w:rFonts w:hint="default" w:ascii="Times New Roman" w:hAnsi="Times New Roman" w:cs="Times New Roman"/>
      <w:color w:val="40404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2481</Words>
  <Characters>2570</Characters>
  <Lines>165</Lines>
  <Paragraphs>193</Paragraphs>
  <TotalTime>2</TotalTime>
  <ScaleCrop>false</ScaleCrop>
  <LinksUpToDate>false</LinksUpToDate>
  <CharactersWithSpaces>2629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2014-11-09T20:08:00Z</dcterms:created>
  <dc:creator>Administrator</dc:creator>
  <cp:lastModifiedBy>朱潇</cp:lastModifiedBy>
  <cp:lastPrinted>2025-05-11T15:31:00Z</cp:lastPrinted>
  <dcterms:modified xsi:type="dcterms:W3CDTF">2025-07-02T02:37:13Z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E338412013509DD9E2220B689DC78838</vt:lpwstr>
  </property>
  <property fmtid="{D5CDD505-2E9C-101B-9397-08002B2CF9AE}" pid="4" name="KSOTemplateDocerSaveRecord">
    <vt:lpwstr>eyJoZGlkIjoiZDYwYWZjOGI2NzM0OGVmYmRjNTNhNTk0ZTRkNzYyNGYiLCJ1c2VySWQiOiIzOTY4ODI0OTAifQ==</vt:lpwstr>
  </property>
</Properties>
</file>