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364A3">
      <w:pPr>
        <w:spacing w:line="600" w:lineRule="exact"/>
        <w:rPr>
          <w:rFonts w:hint="default" w:eastAsia="黑体"/>
          <w:color w:val="000000" w:themeColor="text1"/>
          <w:sz w:val="32"/>
          <w:szCs w:val="32"/>
          <w:lang w:val="en"/>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hint="default" w:eastAsia="黑体"/>
          <w:color w:val="000000" w:themeColor="text1"/>
          <w:sz w:val="32"/>
          <w:szCs w:val="32"/>
          <w:lang w:val="en"/>
          <w14:textFill>
            <w14:solidFill>
              <w14:schemeClr w14:val="tx1"/>
            </w14:solidFill>
          </w14:textFill>
        </w:rPr>
        <w:t>6</w:t>
      </w:r>
    </w:p>
    <w:p w14:paraId="41B6D63B">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14:paraId="548BC942">
      <w:pPr>
        <w:snapToGrid w:val="0"/>
        <w:jc w:val="center"/>
        <w:outlineLvl w:val="0"/>
        <w:rPr>
          <w:rFonts w:hint="eastAsia" w:eastAsia="方正小标宋简体"/>
          <w:color w:val="auto"/>
          <w:sz w:val="40"/>
          <w:szCs w:val="40"/>
        </w:rPr>
      </w:pPr>
      <w:r>
        <w:rPr>
          <w:rFonts w:hint="eastAsia" w:eastAsia="方正小标宋简体"/>
          <w:color w:val="auto"/>
          <w:sz w:val="40"/>
          <w:szCs w:val="40"/>
        </w:rPr>
        <w:t>2025年中央耕地建设与利用资金</w:t>
      </w:r>
    </w:p>
    <w:p w14:paraId="3EF68B68">
      <w:pPr>
        <w:snapToGrid w:val="0"/>
        <w:jc w:val="center"/>
        <w:outlineLvl w:val="0"/>
        <w:rPr>
          <w:rFonts w:eastAsia="方正小标宋简体"/>
          <w:color w:val="auto"/>
          <w:sz w:val="40"/>
          <w:szCs w:val="40"/>
        </w:rPr>
      </w:pPr>
      <w:bookmarkStart w:id="0" w:name="_GoBack"/>
      <w:bookmarkEnd w:id="0"/>
      <w:r>
        <w:rPr>
          <w:rFonts w:hint="eastAsia" w:eastAsia="方正小标宋简体"/>
          <w:color w:val="auto"/>
          <w:sz w:val="40"/>
          <w:szCs w:val="40"/>
        </w:rPr>
        <w:t>（科学施肥增效）项目实施方案（指南）</w:t>
      </w:r>
    </w:p>
    <w:p w14:paraId="35A173AA">
      <w:pPr>
        <w:snapToGrid w:val="0"/>
        <w:ind w:firstLine="640" w:firstLineChars="200"/>
        <w:rPr>
          <w:rFonts w:eastAsia="黑体"/>
          <w:color w:val="000000" w:themeColor="text1"/>
          <w:kern w:val="0"/>
          <w:szCs w:val="32"/>
          <w14:textFill>
            <w14:solidFill>
              <w14:schemeClr w14:val="tx1"/>
            </w14:solidFill>
          </w14:textFill>
        </w:rPr>
      </w:pPr>
    </w:p>
    <w:p w14:paraId="03508F45">
      <w:pPr>
        <w:spacing w:line="600" w:lineRule="exact"/>
        <w:ind w:firstLine="640" w:firstLineChars="200"/>
        <w:outlineLvl w:val="0"/>
        <w:rPr>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一、绩效目标</w:t>
      </w:r>
    </w:p>
    <w:p w14:paraId="08993ADC">
      <w:pPr>
        <w:spacing w:line="60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在全省51个市、县（市、区）开展测土配方施肥基础工作，落实田间试验500个以上，开展农户施肥调查10000户以上，建设“三新”集成推进县14个。</w:t>
      </w:r>
    </w:p>
    <w:p w14:paraId="4EB0B3F2">
      <w:pPr>
        <w:spacing w:line="600" w:lineRule="exact"/>
        <w:ind w:firstLine="640" w:firstLineChars="200"/>
        <w:outlineLvl w:val="0"/>
        <w:rPr>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二、实施条件</w:t>
      </w:r>
    </w:p>
    <w:p w14:paraId="0538EE9E">
      <w:pPr>
        <w:spacing w:line="600" w:lineRule="exact"/>
        <w:ind w:firstLine="640" w:firstLineChars="200"/>
        <w:rPr>
          <w:color w:val="000000" w:themeColor="text1"/>
          <w14:textFill>
            <w14:solidFill>
              <w14:schemeClr w14:val="tx1"/>
            </w14:solidFill>
          </w14:textFill>
        </w:rPr>
      </w:pPr>
      <w:r>
        <w:rPr>
          <w:rFonts w:eastAsia="仿宋_GB2312"/>
          <w:color w:val="000000" w:themeColor="text1"/>
          <w:kern w:val="0"/>
          <w:szCs w:val="32"/>
          <w14:textFill>
            <w14:solidFill>
              <w14:schemeClr w14:val="tx1"/>
            </w14:solidFill>
          </w14:textFill>
        </w:rPr>
        <w:t>市、县（市、区）选择在本区域内有代表性农业用土壤类型和主要粮食作物上开展农户施肥情况调查、肥效田间试验等工作；“三新”集成推进县优先选择近年来科学施肥增效示范工作基础好、技术力量强、人员匹配合理、工作热情高、地方政府支持力度大的县（市、区）；选取大豆播种面积大于</w:t>
      </w:r>
      <w:r>
        <w:rPr>
          <w:rFonts w:eastAsia="仿宋_GB2312"/>
          <w:kern w:val="0"/>
          <w:szCs w:val="32"/>
        </w:rPr>
        <w:t>5万亩</w:t>
      </w:r>
      <w:r>
        <w:rPr>
          <w:rFonts w:eastAsia="仿宋_GB2312"/>
          <w:color w:val="000000" w:themeColor="text1"/>
          <w:kern w:val="0"/>
          <w:szCs w:val="32"/>
          <w14:textFill>
            <w14:solidFill>
              <w14:schemeClr w14:val="tx1"/>
            </w14:solidFill>
          </w14:textFill>
        </w:rPr>
        <w:t>的县（市、区）开展大豆根瘤菌菌剂接种工作。</w:t>
      </w:r>
    </w:p>
    <w:p w14:paraId="2C706F34">
      <w:pPr>
        <w:spacing w:line="600"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三、补助对象及标准</w:t>
      </w:r>
    </w:p>
    <w:p w14:paraId="1209634F">
      <w:pPr>
        <w:spacing w:line="600" w:lineRule="exact"/>
        <w:ind w:firstLine="640" w:firstLineChars="200"/>
        <w:rPr>
          <w:rFonts w:eastAsia="仿宋_GB2312"/>
          <w:kern w:val="0"/>
          <w:szCs w:val="32"/>
        </w:rPr>
      </w:pPr>
      <w:r>
        <w:rPr>
          <w:rFonts w:eastAsia="楷体_GB2312"/>
          <w:color w:val="000000" w:themeColor="text1"/>
          <w:kern w:val="0"/>
          <w:szCs w:val="32"/>
          <w14:textFill>
            <w14:solidFill>
              <w14:schemeClr w14:val="tx1"/>
            </w14:solidFill>
          </w14:textFill>
        </w:rPr>
        <w:t>（一）补助对象：</w:t>
      </w:r>
      <w:r>
        <w:rPr>
          <w:rFonts w:eastAsia="仿宋_GB2312"/>
          <w:kern w:val="0"/>
          <w:szCs w:val="32"/>
        </w:rPr>
        <w:t>农技推广单位、科研教学单位，以及家庭农场、农民专业合作社、农业服务组织等新型农业经营主体。</w:t>
      </w:r>
    </w:p>
    <w:p w14:paraId="2CCD5278">
      <w:pPr>
        <w:spacing w:line="600" w:lineRule="exact"/>
        <w:ind w:firstLine="640" w:firstLineChars="200"/>
      </w:pPr>
      <w:r>
        <w:rPr>
          <w:rFonts w:eastAsia="楷体_GB2312"/>
          <w:kern w:val="0"/>
          <w:szCs w:val="32"/>
        </w:rPr>
        <w:t>（二）补助标准。</w:t>
      </w:r>
      <w:r>
        <w:rPr>
          <w:rFonts w:eastAsia="仿宋_GB2312"/>
          <w:kern w:val="0"/>
          <w:szCs w:val="32"/>
        </w:rPr>
        <w:t>各地根据本地实际情况科学合理制定补助标准，明确成本核算。</w:t>
      </w:r>
    </w:p>
    <w:p w14:paraId="0F1303A8">
      <w:pPr>
        <w:spacing w:line="600" w:lineRule="exact"/>
        <w:ind w:firstLine="640" w:firstLineChars="200"/>
        <w:rPr>
          <w:rFonts w:eastAsia="仿宋_GB2312"/>
          <w:kern w:val="0"/>
          <w:szCs w:val="32"/>
        </w:rPr>
      </w:pPr>
      <w:r>
        <w:rPr>
          <w:rFonts w:eastAsia="楷体_GB2312"/>
          <w:color w:val="000000" w:themeColor="text1"/>
          <w:kern w:val="0"/>
          <w:szCs w:val="32"/>
          <w14:textFill>
            <w14:solidFill>
              <w14:schemeClr w14:val="tx1"/>
            </w14:solidFill>
          </w14:textFill>
        </w:rPr>
        <w:t>（三）资金支出范围</w:t>
      </w:r>
      <w:r>
        <w:rPr>
          <w:rFonts w:eastAsia="楷体_GB2312"/>
          <w:kern w:val="0"/>
          <w:szCs w:val="32"/>
        </w:rPr>
        <w:t>。</w:t>
      </w:r>
      <w:r>
        <w:rPr>
          <w:rFonts w:eastAsia="仿宋_GB2312"/>
          <w:kern w:val="0"/>
          <w:szCs w:val="32"/>
        </w:rPr>
        <w:t>项目资金主要用于测土配方施肥基础工作、“三新”千亩方万亩片建设、大豆根瘤菌菌剂接种、试验示范、数据分析、宣传培训等。补助资金不得用于兴建楼堂馆所、弥补预算支出缺口等与科学施肥增效项目无关的支出。</w:t>
      </w:r>
    </w:p>
    <w:p w14:paraId="13876AD0">
      <w:pPr>
        <w:spacing w:line="600" w:lineRule="exact"/>
        <w:ind w:firstLine="640" w:firstLineChars="200"/>
        <w:outlineLvl w:val="0"/>
        <w:rPr>
          <w:rFonts w:eastAsia="黑体"/>
        </w:rPr>
      </w:pPr>
      <w:r>
        <w:rPr>
          <w:rFonts w:eastAsia="黑体"/>
          <w:kern w:val="0"/>
          <w:szCs w:val="32"/>
        </w:rPr>
        <w:t>四、重点任务</w:t>
      </w:r>
    </w:p>
    <w:p w14:paraId="4F4E5458">
      <w:pPr>
        <w:spacing w:line="600" w:lineRule="exact"/>
        <w:ind w:firstLine="640" w:firstLineChars="200"/>
        <w:rPr>
          <w:rFonts w:eastAsia="仿宋_GB2312"/>
          <w:kern w:val="0"/>
          <w:szCs w:val="32"/>
        </w:rPr>
      </w:pPr>
      <w:r>
        <w:rPr>
          <w:rFonts w:eastAsia="楷体_GB2312"/>
          <w:bCs/>
          <w:color w:val="000000" w:themeColor="text1"/>
          <w:kern w:val="0"/>
          <w:szCs w:val="32"/>
          <w14:textFill>
            <w14:solidFill>
              <w14:schemeClr w14:val="tx1"/>
            </w14:solidFill>
          </w14:textFill>
        </w:rPr>
        <w:t>（一）巩固拓展测土配方施肥基础工作。</w:t>
      </w:r>
      <w:r>
        <w:rPr>
          <w:rFonts w:eastAsia="仿宋_GB2312"/>
          <w:color w:val="000000" w:themeColor="text1"/>
          <w:kern w:val="0"/>
          <w:szCs w:val="32"/>
          <w14:textFill>
            <w14:solidFill>
              <w14:schemeClr w14:val="tx1"/>
            </w14:solidFill>
          </w14:textFill>
        </w:rPr>
        <w:t>在长春市、榆树市、农安县、九台区、德惠市、双阳区、公主岭市、吉林市、永吉县、舒兰市、桦甸市、磐石市、蛟河市、四平市、伊通县、梨树县、双辽市、辽源市、东丰县、东辽县、通化市、通化县、辉南县、柳河县、集安市、白山市、靖宇县、临江市、长白县、抚松县、白城市、洮北区、洮南市、通榆县、大安市、镇赉县、松原市、前郭县、长岭县、宁江区、扶余市、乾安县、延吉市、敦化市、汪清县、龙井市、和龙市、图们市、安图县、珲春市、梅河口市等</w:t>
      </w:r>
      <w:r>
        <w:rPr>
          <w:color w:val="000000" w:themeColor="text1"/>
          <w:kern w:val="0"/>
          <w:szCs w:val="32"/>
          <w14:textFill>
            <w14:solidFill>
              <w14:schemeClr w14:val="tx1"/>
            </w14:solidFill>
          </w14:textFill>
        </w:rPr>
        <w:t>51</w:t>
      </w:r>
      <w:r>
        <w:rPr>
          <w:rFonts w:eastAsia="仿宋_GB2312"/>
          <w:color w:val="000000" w:themeColor="text1"/>
          <w:kern w:val="0"/>
          <w:szCs w:val="32"/>
          <w14:textFill>
            <w14:solidFill>
              <w14:schemeClr w14:val="tx1"/>
            </w14:solidFill>
          </w14:textFill>
        </w:rPr>
        <w:t>个市、县（市、区）继续开展田间试验、农户施肥调查</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科学施肥宣传培训等科学施肥基础工作。</w:t>
      </w:r>
      <w:r>
        <w:rPr>
          <w:rFonts w:eastAsia="仿宋_GB2312"/>
          <w:b/>
          <w:bCs/>
          <w:color w:val="000000" w:themeColor="text1"/>
          <w:kern w:val="0"/>
          <w:szCs w:val="32"/>
          <w14:textFill>
            <w14:solidFill>
              <w14:schemeClr w14:val="tx1"/>
            </w14:solidFill>
          </w14:textFill>
        </w:rPr>
        <w:t>一是布设田间肥效试验。</w:t>
      </w:r>
      <w:r>
        <w:rPr>
          <w:rFonts w:eastAsia="仿宋_GB2312"/>
          <w:color w:val="000000" w:themeColor="text1"/>
          <w:kern w:val="0"/>
          <w:szCs w:val="32"/>
          <w14:textFill>
            <w14:solidFill>
              <w14:schemeClr w14:val="tx1"/>
            </w14:solidFill>
          </w14:textFill>
        </w:rPr>
        <w:t>各市、县（市、区）按照</w:t>
      </w:r>
      <w:r>
        <w:rPr>
          <w:rFonts w:eastAsia="仿宋_GB2312"/>
          <w:kern w:val="0"/>
          <w:szCs w:val="32"/>
        </w:rPr>
        <w:t>《关于印发2025年吉林省科学施肥增效项目田间试验方案的通知》（吉土肥字〔2025〕6号）</w:t>
      </w:r>
      <w:r>
        <w:rPr>
          <w:rFonts w:eastAsia="仿宋_GB2312"/>
          <w:color w:val="000000" w:themeColor="text1"/>
          <w:kern w:val="0"/>
          <w:szCs w:val="32"/>
          <w14:textFill>
            <w14:solidFill>
              <w14:schemeClr w14:val="tx1"/>
            </w14:solidFill>
          </w14:textFill>
        </w:rPr>
        <w:t>要求</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落实肥料田间试验</w:t>
      </w:r>
      <w:r>
        <w:rPr>
          <w:rFonts w:hint="eastAsia" w:eastAsia="仿宋_GB2312"/>
          <w:color w:val="000000" w:themeColor="text1"/>
          <w:kern w:val="0"/>
          <w:szCs w:val="32"/>
          <w14:textFill>
            <w14:solidFill>
              <w14:schemeClr w14:val="tx1"/>
            </w14:solidFill>
          </w14:textFill>
        </w:rPr>
        <w:t>。</w:t>
      </w:r>
      <w:r>
        <w:rPr>
          <w:rFonts w:eastAsia="仿宋_GB2312"/>
          <w:color w:val="000000" w:themeColor="text1"/>
          <w:kern w:val="0"/>
          <w:szCs w:val="32"/>
          <w14:textFill>
            <w14:solidFill>
              <w14:schemeClr w14:val="tx1"/>
            </w14:solidFill>
          </w14:textFill>
        </w:rPr>
        <w:t>强化田间试验点日常管理，规范取样、分析、测产等工作，相关试验数据及时填报测土配方施肥数据库系统。各地</w:t>
      </w:r>
      <w:r>
        <w:rPr>
          <w:rFonts w:hint="eastAsia" w:eastAsia="仿宋_GB2312"/>
          <w:color w:val="000000" w:themeColor="text1"/>
          <w:kern w:val="0"/>
          <w:szCs w:val="32"/>
          <w14:textFill>
            <w14:solidFill>
              <w14:schemeClr w14:val="tx1"/>
            </w14:solidFill>
          </w14:textFill>
        </w:rPr>
        <w:t>要</w:t>
      </w:r>
      <w:r>
        <w:rPr>
          <w:rFonts w:eastAsia="仿宋_GB2312"/>
          <w:color w:val="000000" w:themeColor="text1"/>
          <w:kern w:val="0"/>
          <w:szCs w:val="32"/>
          <w14:textFill>
            <w14:solidFill>
              <w14:schemeClr w14:val="tx1"/>
            </w14:solidFill>
          </w14:textFill>
        </w:rPr>
        <w:t>积极探索与农业科研、教学等部门合作，充分发挥科研、教学等部门技术优势，合理布设肥效田间试验。</w:t>
      </w:r>
      <w:r>
        <w:rPr>
          <w:rFonts w:eastAsia="仿宋_GB2312"/>
          <w:b/>
          <w:bCs/>
          <w:color w:val="000000" w:themeColor="text1"/>
          <w:kern w:val="0"/>
          <w:szCs w:val="32"/>
          <w14:textFill>
            <w14:solidFill>
              <w14:schemeClr w14:val="tx1"/>
            </w14:solidFill>
          </w14:textFill>
        </w:rPr>
        <w:t>二是化肥利用率测算。</w:t>
      </w:r>
      <w:r>
        <w:rPr>
          <w:rFonts w:eastAsia="仿宋_GB2312"/>
          <w:kern w:val="0"/>
          <w:szCs w:val="32"/>
        </w:rPr>
        <w:t>按照《关于做好2024—2025年度吉林省粮食作物化肥利用率测算工作的通知》（吉土肥字〔2025〕7号）要求，</w:t>
      </w:r>
      <w:r>
        <w:rPr>
          <w:rFonts w:eastAsia="仿宋_GB2312"/>
          <w:color w:val="000000" w:themeColor="text1"/>
          <w:kern w:val="0"/>
          <w:szCs w:val="32"/>
          <w14:textFill>
            <w14:solidFill>
              <w14:schemeClr w14:val="tx1"/>
            </w14:solidFill>
          </w14:textFill>
        </w:rPr>
        <w:t>科学测算玉米、水稻粮食作物化肥利用率，选取有代表性的田块，布设水稻、玉米化肥利用率田间试验</w:t>
      </w:r>
      <w:r>
        <w:rPr>
          <w:rFonts w:eastAsia="仿宋_GB2312"/>
          <w:kern w:val="0"/>
          <w:szCs w:val="32"/>
        </w:rPr>
        <w:t>。可委托相关科研教学单位承担田间试验任务，参与试验技术指导，鼓励开展长期定点监测。严把试验地选择、小区设置、田间</w:t>
      </w:r>
      <w:r>
        <w:rPr>
          <w:rFonts w:eastAsia="仿宋_GB2312"/>
          <w:color w:val="000000" w:themeColor="text1"/>
          <w:kern w:val="0"/>
          <w:szCs w:val="32"/>
          <w14:textFill>
            <w14:solidFill>
              <w14:schemeClr w14:val="tx1"/>
            </w14:solidFill>
          </w14:textFill>
        </w:rPr>
        <w:t>管理、样品采集、收获测产、数据审核等关键环节质量关，及时上报化肥利用率田间试验数据。</w:t>
      </w:r>
      <w:r>
        <w:rPr>
          <w:rFonts w:eastAsia="仿宋_GB2312"/>
          <w:b/>
          <w:bCs/>
          <w:color w:val="000000" w:themeColor="text1"/>
          <w:kern w:val="0"/>
          <w:szCs w:val="32"/>
          <w14:textFill>
            <w14:solidFill>
              <w14:schemeClr w14:val="tx1"/>
            </w14:solidFill>
          </w14:textFill>
        </w:rPr>
        <w:t>三是调查施肥状况。</w:t>
      </w:r>
      <w:r>
        <w:rPr>
          <w:rFonts w:eastAsia="仿宋_GB2312"/>
          <w:color w:val="000000" w:themeColor="text1"/>
          <w:kern w:val="0"/>
          <w:szCs w:val="32"/>
          <w14:textFill>
            <w14:solidFill>
              <w14:schemeClr w14:val="tx1"/>
            </w14:solidFill>
          </w14:textFill>
        </w:rPr>
        <w:t>项目县利用“肥情监测通”小程序（见附件1）开展农户施肥情况和肥料使用效果调查监测。综合作物类型、种植制度、施肥主体等因素，以种植大户、家庭农场、专业合作社等为主，兼顾小农户等种植主体，科学合理安排农户施肥情况调查点位，</w:t>
      </w:r>
      <w:r>
        <w:rPr>
          <w:rFonts w:hint="eastAsia" w:eastAsia="仿宋_GB2312"/>
          <w:b/>
          <w:bCs/>
          <w:color w:val="000000" w:themeColor="text1"/>
          <w:kern w:val="0"/>
          <w:szCs w:val="32"/>
          <w14:textFill>
            <w14:solidFill>
              <w14:schemeClr w14:val="tx1"/>
            </w14:solidFill>
          </w14:textFill>
        </w:rPr>
        <w:t>四</w:t>
      </w:r>
      <w:r>
        <w:rPr>
          <w:rFonts w:eastAsia="仿宋_GB2312"/>
          <w:b/>
          <w:bCs/>
          <w:color w:val="000000" w:themeColor="text1"/>
          <w:kern w:val="0"/>
          <w:szCs w:val="32"/>
          <w14:textFill>
            <w14:solidFill>
              <w14:schemeClr w14:val="tx1"/>
            </w14:solidFill>
          </w14:textFill>
        </w:rPr>
        <w:t>是推进智能精准施肥服务。</w:t>
      </w:r>
      <w:r>
        <w:rPr>
          <w:rFonts w:eastAsia="仿宋_GB2312"/>
          <w:color w:val="000000" w:themeColor="text1"/>
          <w:kern w:val="0"/>
          <w:szCs w:val="32"/>
          <w14:textFill>
            <w14:solidFill>
              <w14:schemeClr w14:val="tx1"/>
            </w14:solidFill>
          </w14:textFill>
        </w:rPr>
        <w:t>深入挖掘测土配方施肥数据，优化氮磷钾施肥结构及中微量元素施用技术，调整配方肥养分形态及比例，强化基肥追肥合理运筹，制定县域肥料配方和施肥方案，建立肥料配方发布固定渠道，引导农民按方施肥</w:t>
      </w:r>
      <w:r>
        <w:rPr>
          <w:rFonts w:eastAsia="仿宋_GB2312"/>
          <w:kern w:val="0"/>
          <w:szCs w:val="32"/>
        </w:rPr>
        <w:t>。鼓励有条件的地区推广应用智能化施肥推荐系统</w:t>
      </w:r>
      <w:r>
        <w:rPr>
          <w:rFonts w:hint="eastAsia" w:eastAsia="仿宋_GB2312"/>
          <w:kern w:val="0"/>
          <w:szCs w:val="32"/>
        </w:rPr>
        <w:t>（</w:t>
      </w:r>
      <w:r>
        <w:rPr>
          <w:rFonts w:eastAsia="仿宋_GB2312"/>
          <w:kern w:val="0"/>
          <w:szCs w:val="32"/>
        </w:rPr>
        <w:t>如NE系统，二维码见附件2</w:t>
      </w:r>
      <w:r>
        <w:rPr>
          <w:rFonts w:hint="eastAsia" w:eastAsia="仿宋_GB2312"/>
          <w:kern w:val="0"/>
          <w:szCs w:val="32"/>
        </w:rPr>
        <w:t>）</w:t>
      </w:r>
      <w:r>
        <w:rPr>
          <w:rFonts w:eastAsia="仿宋_GB2312"/>
          <w:kern w:val="0"/>
          <w:szCs w:val="32"/>
        </w:rPr>
        <w:t>，鼓励开展整村整乡“统测、统配、统供、统施”科学施肥服务。</w:t>
      </w:r>
    </w:p>
    <w:p w14:paraId="53FB6BCC">
      <w:pPr>
        <w:spacing w:line="600" w:lineRule="exact"/>
        <w:ind w:firstLine="640" w:firstLineChars="200"/>
        <w:rPr>
          <w:rFonts w:eastAsia="仿宋_GB2312"/>
          <w:kern w:val="0"/>
          <w:szCs w:val="32"/>
        </w:rPr>
      </w:pPr>
      <w:r>
        <w:rPr>
          <w:rFonts w:eastAsia="楷体_GB2312"/>
          <w:bCs/>
          <w:color w:val="000000" w:themeColor="text1"/>
          <w:kern w:val="0"/>
          <w:szCs w:val="32"/>
          <w14:textFill>
            <w14:solidFill>
              <w14:schemeClr w14:val="tx1"/>
            </w14:solidFill>
          </w14:textFill>
        </w:rPr>
        <w:t>（二）深化“三新”集成模式推广。</w:t>
      </w:r>
      <w:r>
        <w:rPr>
          <w:rFonts w:eastAsia="仿宋_GB2312"/>
          <w:kern w:val="0"/>
          <w:szCs w:val="32"/>
        </w:rPr>
        <w:t>在敦化市等14个县（市、</w:t>
      </w:r>
      <w:r>
        <w:rPr>
          <w:rFonts w:eastAsia="仿宋_GB2312"/>
          <w:color w:val="000000" w:themeColor="text1"/>
          <w:kern w:val="0"/>
          <w:szCs w:val="32"/>
          <w14:textFill>
            <w14:solidFill>
              <w14:schemeClr w14:val="tx1"/>
            </w14:solidFill>
          </w14:textFill>
        </w:rPr>
        <w:t>区）集成推广施肥新技术、新产品、新机具技术模式42万亩，优先选择种植规模大、技术能力强的种植大户、社会化服务主体等落实千亩方、万亩片任务。因地制宜确定“</w:t>
      </w:r>
      <w:r>
        <w:rPr>
          <w:rFonts w:eastAsia="仿宋_GB2312"/>
          <w:kern w:val="0"/>
          <w:szCs w:val="32"/>
        </w:rPr>
        <w:t>三新”集成模式和施肥方案，聚焦玉米、水稻、大豆等粮油作物，重点集成推广“种肥同播（机械深施）+缓控释肥+无人机追肥”“测土配方施肥+</w:t>
      </w:r>
      <w:r>
        <w:rPr>
          <w:rFonts w:hint="eastAsia" w:eastAsia="仿宋_GB2312"/>
          <w:kern w:val="0"/>
          <w:szCs w:val="32"/>
        </w:rPr>
        <w:t>适度增密+</w:t>
      </w:r>
      <w:r>
        <w:rPr>
          <w:rFonts w:eastAsia="仿宋_GB2312"/>
          <w:kern w:val="0"/>
          <w:szCs w:val="32"/>
        </w:rPr>
        <w:t>水肥一体化”等技术模式。</w:t>
      </w:r>
    </w:p>
    <w:p w14:paraId="70A5E2D9">
      <w:pPr>
        <w:spacing w:line="600" w:lineRule="exact"/>
        <w:ind w:firstLine="640" w:firstLineChars="200"/>
        <w:rPr>
          <w:rFonts w:eastAsia="仿宋_GB2312"/>
          <w:color w:val="000000" w:themeColor="text1"/>
          <w:kern w:val="0"/>
          <w:szCs w:val="32"/>
          <w14:textFill>
            <w14:solidFill>
              <w14:schemeClr w14:val="tx1"/>
            </w14:solidFill>
          </w14:textFill>
        </w:rPr>
      </w:pPr>
      <w:r>
        <w:rPr>
          <w:rFonts w:eastAsia="楷体_GB2312"/>
          <w:bCs/>
          <w:color w:val="000000" w:themeColor="text1"/>
          <w:kern w:val="0"/>
          <w:szCs w:val="32"/>
          <w14:textFill>
            <w14:solidFill>
              <w14:schemeClr w14:val="tx1"/>
            </w14:solidFill>
          </w14:textFill>
        </w:rPr>
        <w:t>（三）大豆根瘤菌菌剂接种工作。</w:t>
      </w:r>
      <w:r>
        <w:rPr>
          <w:rFonts w:eastAsia="仿宋_GB2312"/>
          <w:kern w:val="0"/>
          <w:szCs w:val="32"/>
        </w:rPr>
        <w:t>按照《关于做好2025年吉林省大豆根瘤菌菌剂接种有关工作的通知》要求</w:t>
      </w:r>
      <w:r>
        <w:rPr>
          <w:rFonts w:hint="eastAsia" w:eastAsia="仿宋_GB2312"/>
          <w:kern w:val="0"/>
          <w:szCs w:val="32"/>
        </w:rPr>
        <w:t>，</w:t>
      </w:r>
      <w:r>
        <w:rPr>
          <w:rFonts w:eastAsia="仿宋_GB2312"/>
          <w:kern w:val="0"/>
          <w:szCs w:val="32"/>
        </w:rPr>
        <w:t>在榆树市等28个县（市）开展大豆根瘤菌菌剂接种工作</w:t>
      </w:r>
      <w:r>
        <w:rPr>
          <w:rFonts w:hint="eastAsia" w:eastAsia="仿宋_GB2312"/>
          <w:kern w:val="0"/>
          <w:szCs w:val="32"/>
        </w:rPr>
        <w:t>。同时</w:t>
      </w:r>
      <w:r>
        <w:rPr>
          <w:rFonts w:eastAsia="仿宋_GB2312"/>
          <w:kern w:val="0"/>
          <w:szCs w:val="32"/>
        </w:rPr>
        <w:t>开展不同产品类型、</w:t>
      </w:r>
      <w:r>
        <w:rPr>
          <w:rFonts w:eastAsia="仿宋_GB2312"/>
          <w:color w:val="000000" w:themeColor="text1"/>
          <w:kern w:val="0"/>
          <w:szCs w:val="32"/>
          <w14:textFill>
            <w14:solidFill>
              <w14:schemeClr w14:val="tx1"/>
            </w14:solidFill>
          </w14:textFill>
        </w:rPr>
        <w:t>接种方式、化肥和菌剂配比等田间试验，为科学评价大豆根瘤菌技术应用效果提供基础数据支撑。</w:t>
      </w:r>
    </w:p>
    <w:p w14:paraId="0270A761">
      <w:pPr>
        <w:pStyle w:val="2"/>
        <w:spacing w:line="600" w:lineRule="exact"/>
        <w:ind w:firstLine="640"/>
        <w:jc w:val="both"/>
        <w:rPr>
          <w:rFonts w:eastAsia="仿宋_GB2312"/>
          <w:kern w:val="0"/>
          <w:szCs w:val="32"/>
        </w:rPr>
      </w:pPr>
      <w:r>
        <w:rPr>
          <w:rFonts w:eastAsia="楷体_GB2312"/>
          <w:bCs/>
          <w:color w:val="000000" w:themeColor="text1"/>
          <w:kern w:val="0"/>
          <w:szCs w:val="32"/>
          <w14:textFill>
            <w14:solidFill>
              <w14:schemeClr w14:val="tx1"/>
            </w14:solidFill>
          </w14:textFill>
        </w:rPr>
        <w:t>（四）强化科学施肥成效评价。</w:t>
      </w:r>
      <w:r>
        <w:rPr>
          <w:rFonts w:hint="eastAsia" w:eastAsia="仿宋_GB2312"/>
          <w:kern w:val="0"/>
          <w:szCs w:val="32"/>
        </w:rPr>
        <w:t>各地</w:t>
      </w:r>
      <w:r>
        <w:rPr>
          <w:rFonts w:eastAsia="仿宋_GB2312"/>
          <w:kern w:val="0"/>
          <w:szCs w:val="32"/>
        </w:rPr>
        <w:t>要全面总结测土配方施肥实施二十年工作历程、技术进步、推广经验、应用成效，深入总结“十四五”化肥减量增效工作进展，科学评估测土配方施肥对作物产量品质、土壤肥力、肥料利用效率的贡献，提炼可复制可推广的典型案例。</w:t>
      </w:r>
    </w:p>
    <w:p w14:paraId="2FACBFAD">
      <w:pPr>
        <w:spacing w:line="600" w:lineRule="exact"/>
        <w:ind w:firstLine="640" w:firstLineChars="200"/>
        <w:rPr>
          <w:rFonts w:eastAsia="仿宋_GB2312"/>
          <w:color w:val="000000" w:themeColor="text1"/>
          <w:kern w:val="0"/>
          <w:szCs w:val="32"/>
          <w14:textFill>
            <w14:solidFill>
              <w14:schemeClr w14:val="tx1"/>
            </w14:solidFill>
          </w14:textFill>
        </w:rPr>
      </w:pPr>
      <w:r>
        <w:rPr>
          <w:rFonts w:eastAsia="楷体_GB2312"/>
          <w:bCs/>
          <w:color w:val="000000" w:themeColor="text1"/>
          <w:kern w:val="0"/>
          <w:szCs w:val="32"/>
          <w14:textFill>
            <w14:solidFill>
              <w14:schemeClr w14:val="tx1"/>
            </w14:solidFill>
          </w14:textFill>
        </w:rPr>
        <w:t>（</w:t>
      </w:r>
      <w:r>
        <w:rPr>
          <w:rFonts w:hint="eastAsia" w:eastAsia="楷体_GB2312"/>
          <w:bCs/>
          <w:color w:val="000000" w:themeColor="text1"/>
          <w:kern w:val="0"/>
          <w:szCs w:val="32"/>
          <w14:textFill>
            <w14:solidFill>
              <w14:schemeClr w14:val="tx1"/>
            </w14:solidFill>
          </w14:textFill>
        </w:rPr>
        <w:t>五</w:t>
      </w:r>
      <w:r>
        <w:rPr>
          <w:rFonts w:eastAsia="楷体_GB2312"/>
          <w:bCs/>
          <w:color w:val="000000" w:themeColor="text1"/>
          <w:kern w:val="0"/>
          <w:szCs w:val="32"/>
          <w14:textFill>
            <w14:solidFill>
              <w14:schemeClr w14:val="tx1"/>
            </w14:solidFill>
          </w14:textFill>
        </w:rPr>
        <w:t>）</w:t>
      </w:r>
      <w:r>
        <w:rPr>
          <w:rFonts w:hint="eastAsia" w:eastAsia="楷体_GB2312"/>
          <w:bCs/>
          <w:color w:val="000000" w:themeColor="text1"/>
          <w:kern w:val="0"/>
          <w:szCs w:val="32"/>
          <w14:textFill>
            <w14:solidFill>
              <w14:schemeClr w14:val="tx1"/>
            </w14:solidFill>
          </w14:textFill>
        </w:rPr>
        <w:t>持续推进</w:t>
      </w:r>
      <w:r>
        <w:rPr>
          <w:rFonts w:eastAsia="楷体_GB2312"/>
          <w:bCs/>
          <w:color w:val="000000" w:themeColor="text1"/>
          <w:kern w:val="0"/>
          <w:szCs w:val="32"/>
          <w14:textFill>
            <w14:solidFill>
              <w14:schemeClr w14:val="tx1"/>
            </w14:solidFill>
          </w14:textFill>
        </w:rPr>
        <w:t>科学施肥技术</w:t>
      </w:r>
      <w:r>
        <w:rPr>
          <w:rFonts w:hint="eastAsia" w:eastAsia="楷体_GB2312"/>
          <w:bCs/>
          <w:color w:val="000000" w:themeColor="text1"/>
          <w:kern w:val="0"/>
          <w:szCs w:val="32"/>
          <w14:textFill>
            <w14:solidFill>
              <w14:schemeClr w14:val="tx1"/>
            </w14:solidFill>
          </w14:textFill>
        </w:rPr>
        <w:t>宣传</w:t>
      </w:r>
      <w:r>
        <w:rPr>
          <w:rFonts w:eastAsia="楷体_GB2312"/>
          <w:bCs/>
          <w:color w:val="000000" w:themeColor="text1"/>
          <w:kern w:val="0"/>
          <w:szCs w:val="32"/>
          <w14:textFill>
            <w14:solidFill>
              <w14:schemeClr w14:val="tx1"/>
            </w14:solidFill>
          </w14:textFill>
        </w:rPr>
        <w:t>指导。</w:t>
      </w:r>
      <w:r>
        <w:rPr>
          <w:rFonts w:eastAsia="仿宋_GB2312"/>
          <w:b/>
          <w:color w:val="000000" w:themeColor="text1"/>
          <w:kern w:val="0"/>
          <w:szCs w:val="32"/>
          <w14:textFill>
            <w14:solidFill>
              <w14:schemeClr w14:val="tx1"/>
            </w14:solidFill>
          </w14:textFill>
        </w:rPr>
        <w:t>一是</w:t>
      </w:r>
      <w:r>
        <w:rPr>
          <w:rFonts w:eastAsia="仿宋_GB2312"/>
          <w:color w:val="000000" w:themeColor="text1"/>
          <w:kern w:val="0"/>
          <w:szCs w:val="32"/>
          <w14:textFill>
            <w14:solidFill>
              <w14:schemeClr w14:val="tx1"/>
            </w14:solidFill>
          </w14:textFill>
        </w:rPr>
        <w:t>发布施肥意见。市、县级农业农村部门要聚焦关键农时，通过短视频、直播授课等灵活多样的形式，解读科学施肥技术要点和注意事项，推介典型模式，指导农户科学合理选肥用肥。</w:t>
      </w:r>
      <w:r>
        <w:rPr>
          <w:rFonts w:hint="eastAsia" w:eastAsia="仿宋_GB2312"/>
          <w:color w:val="000000" w:themeColor="text1"/>
          <w:kern w:val="0"/>
          <w:szCs w:val="32"/>
          <w14:textFill>
            <w14:solidFill>
              <w14:schemeClr w14:val="tx1"/>
            </w14:solidFill>
          </w14:textFill>
        </w:rPr>
        <w:t>二</w:t>
      </w:r>
      <w:r>
        <w:rPr>
          <w:rFonts w:eastAsia="仿宋_GB2312"/>
          <w:b/>
          <w:bCs/>
          <w:color w:val="000000" w:themeColor="text1"/>
          <w:kern w:val="0"/>
          <w:szCs w:val="32"/>
          <w14:textFill>
            <w14:solidFill>
              <w14:schemeClr w14:val="tx1"/>
            </w14:solidFill>
          </w14:textFill>
        </w:rPr>
        <w:t>是</w:t>
      </w:r>
      <w:r>
        <w:rPr>
          <w:rFonts w:eastAsia="仿宋_GB2312"/>
          <w:color w:val="000000" w:themeColor="text1"/>
          <w:kern w:val="0"/>
          <w:szCs w:val="32"/>
          <w14:textFill>
            <w14:solidFill>
              <w14:schemeClr w14:val="tx1"/>
            </w14:solidFill>
          </w14:textFill>
        </w:rPr>
        <w:t>加强技术指导。持续开展全国农技中心“百县千乡万户”科学施肥培训行动和“百名专家联百县”科学施肥指导行动，强化推广、科研、教学、协会、企业等力量联动互动，采取田间讲堂、室内教学、视频直播等形式开展技术培训和指导服务。</w:t>
      </w:r>
      <w:r>
        <w:rPr>
          <w:rFonts w:hint="eastAsia" w:eastAsia="仿宋_GB2312"/>
          <w:b/>
          <w:bCs/>
          <w:color w:val="000000" w:themeColor="text1"/>
          <w:kern w:val="0"/>
          <w:szCs w:val="32"/>
          <w14:textFill>
            <w14:solidFill>
              <w14:schemeClr w14:val="tx1"/>
            </w14:solidFill>
          </w14:textFill>
        </w:rPr>
        <w:t>三</w:t>
      </w:r>
      <w:r>
        <w:rPr>
          <w:rFonts w:eastAsia="仿宋_GB2312"/>
          <w:b/>
          <w:bCs/>
          <w:color w:val="000000" w:themeColor="text1"/>
          <w:kern w:val="0"/>
          <w:szCs w:val="32"/>
          <w14:textFill>
            <w14:solidFill>
              <w14:schemeClr w14:val="tx1"/>
            </w14:solidFill>
          </w14:textFill>
        </w:rPr>
        <w:t>是</w:t>
      </w:r>
      <w:r>
        <w:rPr>
          <w:rFonts w:eastAsia="仿宋_GB2312"/>
          <w:color w:val="000000" w:themeColor="text1"/>
          <w:kern w:val="0"/>
          <w:szCs w:val="32"/>
          <w14:textFill>
            <w14:solidFill>
              <w14:schemeClr w14:val="tx1"/>
            </w14:solidFill>
          </w14:textFill>
        </w:rPr>
        <w:t>深化宣传引导。深入开展科学施肥宣传工作，广泛征集各地在科学施肥技术推广等方面的好做法好经验，挖掘推介一批科学施肥典型案例，加强媒体宣传报道，营造良好舆论氛围。</w:t>
      </w:r>
    </w:p>
    <w:p w14:paraId="76921AC9">
      <w:pPr>
        <w:spacing w:line="600" w:lineRule="exact"/>
        <w:ind w:firstLine="640" w:firstLineChars="200"/>
        <w:outlineLvl w:val="0"/>
        <w:rPr>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五、工作进度</w:t>
      </w:r>
    </w:p>
    <w:p w14:paraId="7227696F">
      <w:pPr>
        <w:spacing w:line="600" w:lineRule="exact"/>
        <w:ind w:firstLine="640" w:firstLineChars="200"/>
        <w:rPr>
          <w:color w:val="000000" w:themeColor="text1"/>
          <w14:textFill>
            <w14:solidFill>
              <w14:schemeClr w14:val="tx1"/>
            </w14:solidFill>
          </w14:textFill>
        </w:rPr>
      </w:pPr>
      <w:r>
        <w:rPr>
          <w:color w:val="000000" w:themeColor="text1"/>
          <w:kern w:val="0"/>
          <w:szCs w:val="32"/>
          <w14:textFill>
            <w14:solidFill>
              <w14:schemeClr w14:val="tx1"/>
            </w14:solidFill>
          </w14:textFill>
        </w:rPr>
        <w:t>2025</w:t>
      </w:r>
      <w:r>
        <w:rPr>
          <w:rFonts w:eastAsia="仿宋_GB2312"/>
          <w:color w:val="000000" w:themeColor="text1"/>
          <w:kern w:val="0"/>
          <w:szCs w:val="32"/>
          <w14:textFill>
            <w14:solidFill>
              <w14:schemeClr w14:val="tx1"/>
            </w14:solidFill>
          </w14:textFill>
        </w:rPr>
        <w:t>年</w:t>
      </w:r>
      <w:r>
        <w:rPr>
          <w:color w:val="000000" w:themeColor="text1"/>
          <w:kern w:val="0"/>
          <w:szCs w:val="32"/>
          <w14:textFill>
            <w14:solidFill>
              <w14:schemeClr w14:val="tx1"/>
            </w14:solidFill>
          </w14:textFill>
        </w:rPr>
        <w:t>1</w:t>
      </w:r>
      <w:r>
        <w:rPr>
          <w:rFonts w:eastAsia="仿宋_GB2312"/>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10</w:t>
      </w:r>
      <w:r>
        <w:rPr>
          <w:rFonts w:eastAsia="仿宋_GB2312"/>
          <w:color w:val="000000" w:themeColor="text1"/>
          <w:kern w:val="0"/>
          <w:szCs w:val="32"/>
          <w14:textFill>
            <w14:solidFill>
              <w14:schemeClr w14:val="tx1"/>
            </w14:solidFill>
          </w14:textFill>
        </w:rPr>
        <w:t>月，开展田间试验。</w:t>
      </w:r>
    </w:p>
    <w:p w14:paraId="7B14C4DD">
      <w:pPr>
        <w:spacing w:line="600" w:lineRule="exact"/>
        <w:ind w:firstLine="640" w:firstLineChars="200"/>
        <w:rPr>
          <w:rFonts w:eastAsia="仿宋_GB2312"/>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2025</w:t>
      </w:r>
      <w:r>
        <w:rPr>
          <w:rFonts w:eastAsia="仿宋_GB2312"/>
          <w:color w:val="000000" w:themeColor="text1"/>
          <w:kern w:val="0"/>
          <w:szCs w:val="32"/>
          <w14:textFill>
            <w14:solidFill>
              <w14:schemeClr w14:val="tx1"/>
            </w14:solidFill>
          </w14:textFill>
        </w:rPr>
        <w:t>年</w:t>
      </w:r>
      <w:r>
        <w:rPr>
          <w:rFonts w:hint="eastAsia" w:eastAsia="仿宋_GB2312"/>
          <w:color w:val="000000" w:themeColor="text1"/>
          <w:kern w:val="0"/>
          <w:szCs w:val="32"/>
          <w14:textFill>
            <w14:solidFill>
              <w14:schemeClr w14:val="tx1"/>
            </w14:solidFill>
          </w14:textFill>
        </w:rPr>
        <w:t>6</w:t>
      </w:r>
      <w:r>
        <w:rPr>
          <w:rFonts w:eastAsia="仿宋_GB2312"/>
          <w:color w:val="000000" w:themeColor="text1"/>
          <w:kern w:val="0"/>
          <w:szCs w:val="32"/>
          <w14:textFill>
            <w14:solidFill>
              <w14:schemeClr w14:val="tx1"/>
            </w14:solidFill>
          </w14:textFill>
        </w:rPr>
        <w:t>—</w:t>
      </w:r>
      <w:r>
        <w:rPr>
          <w:rFonts w:hint="eastAsia" w:eastAsia="仿宋_GB2312"/>
          <w:color w:val="000000" w:themeColor="text1"/>
          <w:kern w:val="0"/>
          <w:szCs w:val="32"/>
          <w14:textFill>
            <w14:solidFill>
              <w14:schemeClr w14:val="tx1"/>
            </w14:solidFill>
          </w14:textFill>
        </w:rPr>
        <w:t>9</w:t>
      </w:r>
      <w:r>
        <w:rPr>
          <w:rFonts w:eastAsia="仿宋_GB2312"/>
          <w:color w:val="000000" w:themeColor="text1"/>
          <w:kern w:val="0"/>
          <w:szCs w:val="32"/>
          <w14:textFill>
            <w14:solidFill>
              <w14:schemeClr w14:val="tx1"/>
            </w14:solidFill>
          </w14:textFill>
        </w:rPr>
        <w:t>月，开展农户施肥情况调查。</w:t>
      </w:r>
    </w:p>
    <w:p w14:paraId="18C18ACB">
      <w:pPr>
        <w:spacing w:line="600" w:lineRule="exact"/>
        <w:ind w:firstLine="640" w:firstLineChars="200"/>
        <w:rPr>
          <w:color w:val="000000" w:themeColor="text1"/>
          <w14:textFill>
            <w14:solidFill>
              <w14:schemeClr w14:val="tx1"/>
            </w14:solidFill>
          </w14:textFill>
        </w:rPr>
      </w:pPr>
      <w:r>
        <w:rPr>
          <w:color w:val="000000" w:themeColor="text1"/>
          <w:kern w:val="0"/>
          <w:szCs w:val="32"/>
          <w14:textFill>
            <w14:solidFill>
              <w14:schemeClr w14:val="tx1"/>
            </w14:solidFill>
          </w14:textFill>
        </w:rPr>
        <w:t>2025</w:t>
      </w:r>
      <w:r>
        <w:rPr>
          <w:rFonts w:eastAsia="仿宋_GB2312"/>
          <w:color w:val="000000" w:themeColor="text1"/>
          <w:kern w:val="0"/>
          <w:szCs w:val="32"/>
          <w14:textFill>
            <w14:solidFill>
              <w14:schemeClr w14:val="tx1"/>
            </w14:solidFill>
          </w14:textFill>
        </w:rPr>
        <w:t>年</w:t>
      </w:r>
      <w:r>
        <w:rPr>
          <w:rFonts w:hint="eastAsia" w:eastAsia="仿宋_GB2312"/>
          <w:color w:val="000000" w:themeColor="text1"/>
          <w:kern w:val="0"/>
          <w:szCs w:val="32"/>
          <w14:textFill>
            <w14:solidFill>
              <w14:schemeClr w14:val="tx1"/>
            </w14:solidFill>
          </w14:textFill>
        </w:rPr>
        <w:t>4</w:t>
      </w:r>
      <w:r>
        <w:rPr>
          <w:rFonts w:eastAsia="仿宋_GB2312"/>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10</w:t>
      </w:r>
      <w:r>
        <w:rPr>
          <w:rFonts w:eastAsia="仿宋_GB2312"/>
          <w:color w:val="000000" w:themeColor="text1"/>
          <w:kern w:val="0"/>
          <w:szCs w:val="32"/>
          <w14:textFill>
            <w14:solidFill>
              <w14:schemeClr w14:val="tx1"/>
            </w14:solidFill>
          </w14:textFill>
        </w:rPr>
        <w:t>月，建设“三新”集成推进示范区，开展大豆根瘤菌菌剂接种工作。</w:t>
      </w:r>
    </w:p>
    <w:p w14:paraId="1535C6E2">
      <w:pPr>
        <w:spacing w:line="600" w:lineRule="exact"/>
        <w:ind w:firstLine="640" w:firstLineChars="200"/>
        <w:rPr>
          <w:rFonts w:eastAsia="仿宋_GB2312"/>
          <w:color w:val="000000" w:themeColor="text1"/>
          <w:kern w:val="0"/>
          <w:szCs w:val="32"/>
          <w14:textFill>
            <w14:solidFill>
              <w14:schemeClr w14:val="tx1"/>
            </w14:solidFill>
          </w14:textFill>
        </w:rPr>
      </w:pPr>
      <w:r>
        <w:rPr>
          <w:color w:val="000000" w:themeColor="text1"/>
          <w:kern w:val="0"/>
          <w:szCs w:val="32"/>
          <w14:textFill>
            <w14:solidFill>
              <w14:schemeClr w14:val="tx1"/>
            </w14:solidFill>
          </w14:textFill>
        </w:rPr>
        <w:t>2025</w:t>
      </w:r>
      <w:r>
        <w:rPr>
          <w:rFonts w:eastAsia="仿宋_GB2312"/>
          <w:color w:val="000000" w:themeColor="text1"/>
          <w:kern w:val="0"/>
          <w:szCs w:val="32"/>
          <w14:textFill>
            <w14:solidFill>
              <w14:schemeClr w14:val="tx1"/>
            </w14:solidFill>
          </w14:textFill>
        </w:rPr>
        <w:t>年</w:t>
      </w:r>
      <w:r>
        <w:rPr>
          <w:color w:val="000000" w:themeColor="text1"/>
          <w:kern w:val="0"/>
          <w:szCs w:val="32"/>
          <w14:textFill>
            <w14:solidFill>
              <w14:schemeClr w14:val="tx1"/>
            </w14:solidFill>
          </w14:textFill>
        </w:rPr>
        <w:t>10</w:t>
      </w:r>
      <w:r>
        <w:rPr>
          <w:rFonts w:eastAsia="仿宋_GB2312"/>
          <w:color w:val="000000" w:themeColor="text1"/>
          <w:kern w:val="0"/>
          <w:szCs w:val="32"/>
          <w14:textFill>
            <w14:solidFill>
              <w14:schemeClr w14:val="tx1"/>
            </w14:solidFill>
          </w14:textFill>
        </w:rPr>
        <w:t>—</w:t>
      </w:r>
      <w:r>
        <w:rPr>
          <w:color w:val="000000" w:themeColor="text1"/>
          <w:kern w:val="0"/>
          <w:szCs w:val="32"/>
          <w14:textFill>
            <w14:solidFill>
              <w14:schemeClr w14:val="tx1"/>
            </w14:solidFill>
          </w14:textFill>
        </w:rPr>
        <w:t>12</w:t>
      </w:r>
      <w:r>
        <w:rPr>
          <w:rFonts w:eastAsia="仿宋_GB2312"/>
          <w:color w:val="000000" w:themeColor="text1"/>
          <w:kern w:val="0"/>
          <w:szCs w:val="32"/>
          <w14:textFill>
            <w14:solidFill>
              <w14:schemeClr w14:val="tx1"/>
            </w14:solidFill>
          </w14:textFill>
        </w:rPr>
        <w:t>月，完成项目资料汇总、化肥利用率测算、项目总结、绩效总结等工作。</w:t>
      </w:r>
    </w:p>
    <w:p w14:paraId="4252D3BC">
      <w:pPr>
        <w:spacing w:line="600" w:lineRule="exact"/>
        <w:ind w:firstLine="640" w:firstLineChars="200"/>
        <w:outlineLvl w:val="0"/>
        <w:rPr>
          <w:color w:val="000000" w:themeColor="text1"/>
          <w14:textFill>
            <w14:solidFill>
              <w14:schemeClr w14:val="tx1"/>
            </w14:solidFill>
          </w14:textFill>
        </w:rPr>
      </w:pPr>
      <w:r>
        <w:rPr>
          <w:rFonts w:eastAsia="黑体"/>
          <w:color w:val="000000" w:themeColor="text1"/>
          <w:kern w:val="0"/>
          <w:szCs w:val="32"/>
          <w14:textFill>
            <w14:solidFill>
              <w14:schemeClr w14:val="tx1"/>
            </w14:solidFill>
          </w14:textFill>
        </w:rPr>
        <w:t>六、有关要求</w:t>
      </w:r>
    </w:p>
    <w:p w14:paraId="5C8883DA">
      <w:pPr>
        <w:spacing w:line="60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各地农业农村局</w:t>
      </w:r>
      <w:r>
        <w:rPr>
          <w:rFonts w:eastAsia="仿宋_GB2312"/>
          <w:kern w:val="0"/>
          <w:szCs w:val="32"/>
        </w:rPr>
        <w:t>要加强统筹协调，分解任务目标，制定</w:t>
      </w:r>
      <w:r>
        <w:rPr>
          <w:rFonts w:hint="eastAsia" w:eastAsia="仿宋_GB2312"/>
          <w:kern w:val="0"/>
          <w:szCs w:val="32"/>
        </w:rPr>
        <w:t>县</w:t>
      </w:r>
      <w:r>
        <w:rPr>
          <w:rFonts w:eastAsia="仿宋_GB2312"/>
          <w:kern w:val="0"/>
          <w:szCs w:val="32"/>
        </w:rPr>
        <w:t>级</w:t>
      </w:r>
      <w:r>
        <w:rPr>
          <w:rFonts w:hint="eastAsia" w:eastAsia="仿宋_GB2312"/>
          <w:kern w:val="0"/>
          <w:szCs w:val="32"/>
        </w:rPr>
        <w:t>科学施肥</w:t>
      </w:r>
      <w:r>
        <w:rPr>
          <w:rFonts w:eastAsia="仿宋_GB2312"/>
          <w:kern w:val="0"/>
          <w:szCs w:val="32"/>
        </w:rPr>
        <w:t>实施方案</w:t>
      </w:r>
      <w:r>
        <w:rPr>
          <w:rFonts w:hint="eastAsia" w:eastAsia="仿宋_GB2312"/>
          <w:kern w:val="0"/>
          <w:szCs w:val="32"/>
        </w:rPr>
        <w:t>、</w:t>
      </w:r>
      <w:r>
        <w:rPr>
          <w:rFonts w:eastAsia="仿宋_GB2312"/>
          <w:kern w:val="0"/>
          <w:szCs w:val="32"/>
        </w:rPr>
        <w:t>“三新”集成推进县实施方案。</w:t>
      </w:r>
      <w:r>
        <w:rPr>
          <w:rFonts w:hint="eastAsia" w:eastAsia="仿宋_GB2312"/>
          <w:b/>
          <w:color w:val="000000" w:themeColor="text1"/>
          <w:kern w:val="0"/>
          <w:szCs w:val="32"/>
          <w14:textFill>
            <w14:solidFill>
              <w14:schemeClr w14:val="tx1"/>
            </w14:solidFill>
          </w14:textFill>
        </w:rPr>
        <w:t>一是</w:t>
      </w:r>
      <w:r>
        <w:rPr>
          <w:rFonts w:eastAsia="仿宋_GB2312"/>
          <w:kern w:val="0"/>
          <w:szCs w:val="32"/>
        </w:rPr>
        <w:t>“三新”集成推进县要根据本地区实际制定县级实施方案，细化目标任务，明确实施区域、实施主体、技术模式等，细化补贴标准，完善配套措施。</w:t>
      </w:r>
      <w:r>
        <w:rPr>
          <w:rFonts w:hint="eastAsia" w:eastAsia="仿宋_GB2312"/>
          <w:b/>
          <w:color w:val="000000" w:themeColor="text1"/>
          <w:kern w:val="0"/>
          <w:szCs w:val="32"/>
          <w14:textFill>
            <w14:solidFill>
              <w14:schemeClr w14:val="tx1"/>
            </w14:solidFill>
          </w14:textFill>
        </w:rPr>
        <w:t>二是</w:t>
      </w:r>
      <w:r>
        <w:rPr>
          <w:rFonts w:eastAsia="仿宋_GB2312"/>
          <w:kern w:val="0"/>
          <w:szCs w:val="32"/>
        </w:rPr>
        <w:t>加强数据管理，及时填报土壤测试化验、田间试验监测、农户施肥调查等数据，加强数据逐级审核，重点审核数据的科学性、合理性，严格落实国家信息安全有关要求。</w:t>
      </w:r>
      <w:r>
        <w:rPr>
          <w:rFonts w:hint="eastAsia" w:eastAsia="仿宋_GB2312"/>
          <w:b/>
          <w:color w:val="000000" w:themeColor="text1"/>
          <w:kern w:val="0"/>
          <w:szCs w:val="32"/>
          <w14:textFill>
            <w14:solidFill>
              <w14:schemeClr w14:val="tx1"/>
            </w14:solidFill>
          </w14:textFill>
        </w:rPr>
        <w:t>三是</w:t>
      </w:r>
      <w:r>
        <w:rPr>
          <w:rFonts w:eastAsia="仿宋_GB2312"/>
          <w:color w:val="000000" w:themeColor="text1"/>
          <w:kern w:val="0"/>
          <w:szCs w:val="32"/>
          <w14:textFill>
            <w14:solidFill>
              <w14:schemeClr w14:val="tx1"/>
            </w14:solidFill>
          </w14:textFill>
        </w:rPr>
        <w:t>强化日常管理，建立健全项目管理机制，及时调度、报送项目执行进度和实施成效，适时开展调研指导，发现问题及时督促整改、限期整改，确保科学施肥增效工作取得实效。</w:t>
      </w:r>
    </w:p>
    <w:p w14:paraId="66A778E8">
      <w:pPr>
        <w:spacing w:line="600" w:lineRule="exact"/>
        <w:ind w:firstLine="640" w:firstLineChars="200"/>
        <w:rPr>
          <w:color w:val="000000" w:themeColor="text1"/>
          <w14:textFill>
            <w14:solidFill>
              <w14:schemeClr w14:val="tx1"/>
            </w14:solidFill>
          </w14:textFill>
        </w:rPr>
      </w:pPr>
      <w:r>
        <w:rPr>
          <w:rFonts w:eastAsia="仿宋_GB2312"/>
          <w:color w:val="000000" w:themeColor="text1"/>
          <w:kern w:val="0"/>
          <w:szCs w:val="32"/>
          <w14:textFill>
            <w14:solidFill>
              <w14:schemeClr w14:val="tx1"/>
            </w14:solidFill>
          </w14:textFill>
        </w:rPr>
        <w:t>联系人：种植业管理处张硕，</w:t>
      </w:r>
      <w:r>
        <w:rPr>
          <w:color w:val="000000" w:themeColor="text1"/>
          <w:kern w:val="0"/>
          <w:szCs w:val="32"/>
          <w14:textFill>
            <w14:solidFill>
              <w14:schemeClr w14:val="tx1"/>
            </w14:solidFill>
          </w14:textFill>
        </w:rPr>
        <w:t>0431-88910585</w:t>
      </w:r>
    </w:p>
    <w:p w14:paraId="29AF08C0">
      <w:pPr>
        <w:spacing w:line="600" w:lineRule="exact"/>
        <w:ind w:firstLine="1920" w:firstLineChars="600"/>
        <w:rPr>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省土壤肥料总站于双成，</w:t>
      </w:r>
      <w:r>
        <w:rPr>
          <w:color w:val="000000" w:themeColor="text1"/>
          <w:kern w:val="0"/>
          <w:szCs w:val="32"/>
          <w14:textFill>
            <w14:solidFill>
              <w14:schemeClr w14:val="tx1"/>
            </w14:solidFill>
          </w14:textFill>
        </w:rPr>
        <w:t>0431-85957615</w:t>
      </w:r>
    </w:p>
    <w:p w14:paraId="5DAF21E1">
      <w:pPr>
        <w:spacing w:line="600" w:lineRule="exact"/>
        <w:ind w:firstLine="640" w:firstLineChars="200"/>
        <w:rPr>
          <w:rFonts w:eastAsia="仿宋_GB2312"/>
          <w:color w:val="000000" w:themeColor="text1"/>
          <w:kern w:val="0"/>
          <w:szCs w:val="32"/>
          <w14:textFill>
            <w14:solidFill>
              <w14:schemeClr w14:val="tx1"/>
            </w14:solidFill>
          </w14:textFill>
        </w:rPr>
      </w:pPr>
    </w:p>
    <w:p w14:paraId="090FD673">
      <w:pPr>
        <w:spacing w:line="600" w:lineRule="exact"/>
        <w:ind w:firstLine="640" w:firstLineChars="200"/>
        <w:outlineLvl w:val="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附件：1.肥情监测通二维码</w:t>
      </w:r>
    </w:p>
    <w:p w14:paraId="5C9B116F">
      <w:pPr>
        <w:spacing w:line="600" w:lineRule="exact"/>
        <w:ind w:firstLine="1632" w:firstLineChars="510"/>
        <w:outlineLvl w:val="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2.推荐施肥专家系统二维码</w:t>
      </w:r>
    </w:p>
    <w:p w14:paraId="3AE3FC67">
      <w:pPr>
        <w:pStyle w:val="2"/>
        <w:ind w:firstLine="198" w:firstLineChars="62"/>
      </w:pPr>
    </w:p>
    <w:p w14:paraId="0114BCF5">
      <w:pPr>
        <w:ind w:firstLine="640" w:firstLineChars="200"/>
        <w:rPr>
          <w:rFonts w:eastAsia="黑体"/>
          <w:color w:val="000000" w:themeColor="text1"/>
          <w:kern w:val="0"/>
          <w:szCs w:val="32"/>
          <w14:textFill>
            <w14:solidFill>
              <w14:schemeClr w14:val="tx1"/>
            </w14:solidFill>
          </w14:textFill>
        </w:rPr>
      </w:pPr>
    </w:p>
    <w:p w14:paraId="5889CF70">
      <w:pPr>
        <w:rPr>
          <w:rFonts w:eastAsia="黑体"/>
          <w:color w:val="000000" w:themeColor="text1"/>
          <w:kern w:val="0"/>
          <w:szCs w:val="32"/>
          <w14:textFill>
            <w14:solidFill>
              <w14:schemeClr w14:val="tx1"/>
            </w14:solidFill>
          </w14:textFill>
        </w:rPr>
      </w:pPr>
      <w:r>
        <w:rPr>
          <w:rFonts w:eastAsia="黑体"/>
          <w:color w:val="000000" w:themeColor="text1"/>
          <w:kern w:val="0"/>
          <w:szCs w:val="32"/>
          <w14:textFill>
            <w14:solidFill>
              <w14:schemeClr w14:val="tx1"/>
            </w14:solidFill>
          </w14:textFill>
        </w:rPr>
        <w:br w:type="column"/>
      </w:r>
      <w:r>
        <w:rPr>
          <w:rFonts w:eastAsia="黑体"/>
          <w:color w:val="000000" w:themeColor="text1"/>
          <w:kern w:val="0"/>
          <w:szCs w:val="32"/>
          <w14:textFill>
            <w14:solidFill>
              <w14:schemeClr w14:val="tx1"/>
            </w14:solidFill>
          </w14:textFill>
        </w:rPr>
        <w:t>附件1</w:t>
      </w:r>
    </w:p>
    <w:p w14:paraId="74AAA389">
      <w:pPr>
        <w:spacing w:line="600" w:lineRule="exact"/>
        <w:ind w:firstLine="640" w:firstLineChars="200"/>
        <w:rPr>
          <w:rFonts w:eastAsia="仿宋_GB2312"/>
          <w:color w:val="000000" w:themeColor="text1"/>
          <w:kern w:val="0"/>
          <w:szCs w:val="32"/>
          <w14:textFill>
            <w14:solidFill>
              <w14:schemeClr w14:val="tx1"/>
            </w14:solidFill>
          </w14:textFill>
        </w:rPr>
      </w:pPr>
    </w:p>
    <w:p w14:paraId="159B2983">
      <w:pPr>
        <w:snapToGrid w:val="0"/>
        <w:jc w:val="center"/>
        <w:outlineLvl w:val="0"/>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肥情监测通二维码</w:t>
      </w:r>
    </w:p>
    <w:p w14:paraId="7E895D7B">
      <w:pPr>
        <w:spacing w:line="600" w:lineRule="exact"/>
        <w:ind w:firstLine="640" w:firstLineChars="200"/>
        <w:rPr>
          <w:rFonts w:eastAsia="仿宋_GB2312"/>
          <w:color w:val="000000" w:themeColor="text1"/>
          <w:kern w:val="0"/>
          <w:szCs w:val="32"/>
          <w14:textFill>
            <w14:solidFill>
              <w14:schemeClr w14:val="tx1"/>
            </w14:solidFill>
          </w14:textFill>
        </w:rPr>
      </w:pPr>
    </w:p>
    <w:p w14:paraId="6513AC56">
      <w:pPr>
        <w:spacing w:line="600" w:lineRule="exact"/>
        <w:ind w:firstLine="640" w:firstLineChars="200"/>
        <w:rPr>
          <w:rFonts w:eastAsia="仿宋_GB2312"/>
          <w:color w:val="000000" w:themeColor="text1"/>
          <w:kern w:val="0"/>
          <w:szCs w:val="32"/>
          <w14:textFill>
            <w14:solidFill>
              <w14:schemeClr w14:val="tx1"/>
            </w14:solidFill>
          </w14:textFill>
        </w:rPr>
      </w:pPr>
    </w:p>
    <w:p w14:paraId="217C630D">
      <w:pPr>
        <w:spacing w:line="430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742565" cy="2729865"/>
            <wp:effectExtent l="0" t="0" r="63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742565" cy="2729865"/>
                    </a:xfrm>
                    <a:prstGeom prst="rect">
                      <a:avLst/>
                    </a:prstGeom>
                    <a:noFill/>
                    <a:ln>
                      <a:noFill/>
                    </a:ln>
                  </pic:spPr>
                </pic:pic>
              </a:graphicData>
            </a:graphic>
          </wp:inline>
        </w:drawing>
      </w:r>
    </w:p>
    <w:p w14:paraId="04328F23">
      <w:pPr>
        <w:spacing w:before="272" w:line="213" w:lineRule="auto"/>
        <w:ind w:left="3218"/>
        <w:outlineLvl w:val="1"/>
        <w:rPr>
          <w:rFonts w:eastAsia="黑体"/>
          <w:color w:val="000000" w:themeColor="text1"/>
          <w:sz w:val="30"/>
          <w:szCs w:val="30"/>
          <w14:textFill>
            <w14:solidFill>
              <w14:schemeClr w14:val="tx1"/>
            </w14:solidFill>
          </w14:textFill>
        </w:rPr>
      </w:pPr>
      <w:r>
        <w:rPr>
          <w:rFonts w:eastAsia="黑体"/>
          <w:b/>
          <w:bCs/>
          <w:color w:val="000000" w:themeColor="text1"/>
          <w:spacing w:val="-11"/>
          <w:sz w:val="30"/>
          <w:szCs w:val="30"/>
          <w14:textFill>
            <w14:solidFill>
              <w14:schemeClr w14:val="tx1"/>
            </w14:solidFill>
          </w14:textFill>
        </w:rPr>
        <w:t>微信扫一扫，使用小程序</w:t>
      </w:r>
    </w:p>
    <w:p w14:paraId="4F597314">
      <w:pPr>
        <w:rPr>
          <w:color w:val="000000" w:themeColor="text1"/>
          <w14:textFill>
            <w14:solidFill>
              <w14:schemeClr w14:val="tx1"/>
            </w14:solidFill>
          </w14:textFill>
        </w:rPr>
      </w:pPr>
    </w:p>
    <w:p w14:paraId="3E2A6EF3">
      <w:pPr>
        <w:pStyle w:val="2"/>
        <w:ind w:firstLine="640"/>
        <w:rPr>
          <w:rFonts w:eastAsia="仿宋_GB2312"/>
          <w:color w:val="000000" w:themeColor="text1"/>
          <w14:textFill>
            <w14:solidFill>
              <w14:schemeClr w14:val="tx1"/>
            </w14:solidFill>
          </w14:textFill>
        </w:rPr>
      </w:pPr>
    </w:p>
    <w:p w14:paraId="63C8BBC7">
      <w:pPr>
        <w:rPr>
          <w:rFonts w:eastAsia="黑体"/>
          <w:color w:val="000000" w:themeColor="text1"/>
          <w:kern w:val="0"/>
          <w:szCs w:val="32"/>
          <w14:textFill>
            <w14:solidFill>
              <w14:schemeClr w14:val="tx1"/>
            </w14:solidFill>
          </w14:textFill>
        </w:rPr>
      </w:pPr>
      <w:r>
        <w:rPr>
          <w:rFonts w:eastAsia="黑体"/>
          <w:color w:val="000000" w:themeColor="text1"/>
          <w:kern w:val="0"/>
          <w:szCs w:val="32"/>
          <w14:textFill>
            <w14:solidFill>
              <w14:schemeClr w14:val="tx1"/>
            </w14:solidFill>
          </w14:textFill>
        </w:rPr>
        <w:br w:type="column"/>
      </w:r>
      <w:r>
        <w:rPr>
          <w:rFonts w:eastAsia="黑体"/>
          <w:color w:val="000000" w:themeColor="text1"/>
          <w:kern w:val="0"/>
          <w:szCs w:val="32"/>
          <w14:textFill>
            <w14:solidFill>
              <w14:schemeClr w14:val="tx1"/>
            </w14:solidFill>
          </w14:textFill>
        </w:rPr>
        <w:t>附件2</w:t>
      </w:r>
    </w:p>
    <w:p w14:paraId="3496D165">
      <w:pPr>
        <w:spacing w:line="600" w:lineRule="exact"/>
        <w:ind w:firstLine="640" w:firstLineChars="200"/>
        <w:rPr>
          <w:rFonts w:eastAsia="仿宋_GB2312"/>
          <w:color w:val="000000" w:themeColor="text1"/>
          <w:kern w:val="0"/>
          <w:szCs w:val="32"/>
          <w14:textFill>
            <w14:solidFill>
              <w14:schemeClr w14:val="tx1"/>
            </w14:solidFill>
          </w14:textFill>
        </w:rPr>
      </w:pPr>
    </w:p>
    <w:p w14:paraId="5BC0CC9E">
      <w:pPr>
        <w:spacing w:line="600" w:lineRule="exact"/>
        <w:ind w:firstLine="640" w:firstLineChars="200"/>
        <w:rPr>
          <w:rFonts w:eastAsia="仿宋_GB2312"/>
          <w:color w:val="000000" w:themeColor="text1"/>
          <w:kern w:val="0"/>
          <w:szCs w:val="32"/>
          <w14:textFill>
            <w14:solidFill>
              <w14:schemeClr w14:val="tx1"/>
            </w14:solidFill>
          </w14:textFill>
        </w:rPr>
      </w:pPr>
    </w:p>
    <w:p w14:paraId="116256C2">
      <w:pPr>
        <w:spacing w:before="130" w:line="219" w:lineRule="auto"/>
        <w:jc w:val="center"/>
        <w:outlineLvl w:val="0"/>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推荐施肥专家系统二维码</w:t>
      </w:r>
    </w:p>
    <w:p w14:paraId="24E5EB49">
      <w:pPr>
        <w:spacing w:line="600" w:lineRule="exact"/>
        <w:ind w:firstLine="640" w:firstLineChars="200"/>
        <w:rPr>
          <w:rFonts w:eastAsia="仿宋_GB2312"/>
          <w:color w:val="000000" w:themeColor="text1"/>
          <w:kern w:val="0"/>
          <w:szCs w:val="32"/>
          <w14:textFill>
            <w14:solidFill>
              <w14:schemeClr w14:val="tx1"/>
            </w14:solidFill>
          </w14:textFill>
        </w:rPr>
      </w:pPr>
    </w:p>
    <w:p w14:paraId="70EBCA77">
      <w:pPr>
        <w:spacing w:line="600" w:lineRule="exact"/>
        <w:ind w:firstLine="640" w:firstLineChars="200"/>
        <w:rPr>
          <w:rFonts w:eastAsia="仿宋_GB2312"/>
          <w:color w:val="000000" w:themeColor="text1"/>
          <w:kern w:val="0"/>
          <w:szCs w:val="32"/>
          <w14:textFill>
            <w14:solidFill>
              <w14:schemeClr w14:val="tx1"/>
            </w14:solidFill>
          </w14:textFill>
        </w:rPr>
      </w:pPr>
    </w:p>
    <w:p w14:paraId="762B4F38">
      <w:pPr>
        <w:jc w:val="center"/>
        <w:rPr>
          <w:rFonts w:eastAsia="黑体"/>
          <w:color w:val="000000" w:themeColor="text1"/>
          <w:kern w:val="0"/>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2984500" cy="2977515"/>
            <wp:effectExtent l="0" t="0" r="6350" b="133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2984500" cy="2977515"/>
                    </a:xfrm>
                    <a:prstGeom prst="rect">
                      <a:avLst/>
                    </a:prstGeom>
                    <a:noFill/>
                    <a:ln>
                      <a:noFill/>
                    </a:ln>
                  </pic:spPr>
                </pic:pic>
              </a:graphicData>
            </a:graphic>
          </wp:inline>
        </w:drawing>
      </w:r>
    </w:p>
    <w:p w14:paraId="3C6254B9"/>
    <w:p w14:paraId="2DCC96B2">
      <w:pPr>
        <w:widowControl/>
        <w:jc w:val="left"/>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C4A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3A9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393A9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YzMyYjZhY2JiOGYxYTIxYzQ2ZGY4MjQ3NjQzZjgifQ=="/>
  </w:docVars>
  <w:rsids>
    <w:rsidRoot w:val="004A12D1"/>
    <w:rsid w:val="000E013B"/>
    <w:rsid w:val="00315D64"/>
    <w:rsid w:val="0044518E"/>
    <w:rsid w:val="004A12D1"/>
    <w:rsid w:val="00521B7B"/>
    <w:rsid w:val="0059473B"/>
    <w:rsid w:val="006E3148"/>
    <w:rsid w:val="007764FC"/>
    <w:rsid w:val="009573E0"/>
    <w:rsid w:val="00B26567"/>
    <w:rsid w:val="00B95521"/>
    <w:rsid w:val="00C26242"/>
    <w:rsid w:val="00F44D3C"/>
    <w:rsid w:val="014C4DA3"/>
    <w:rsid w:val="02E1776D"/>
    <w:rsid w:val="041E22FB"/>
    <w:rsid w:val="06F66A3B"/>
    <w:rsid w:val="071F6AB6"/>
    <w:rsid w:val="0A9734F3"/>
    <w:rsid w:val="0AE859E7"/>
    <w:rsid w:val="0AED2A4B"/>
    <w:rsid w:val="0BB65E0B"/>
    <w:rsid w:val="0C450D6C"/>
    <w:rsid w:val="0EFB1BB6"/>
    <w:rsid w:val="0F785FDA"/>
    <w:rsid w:val="117F7F03"/>
    <w:rsid w:val="12843C71"/>
    <w:rsid w:val="12B0346E"/>
    <w:rsid w:val="13373EDF"/>
    <w:rsid w:val="13D65BBB"/>
    <w:rsid w:val="159B2A7F"/>
    <w:rsid w:val="15B61CC5"/>
    <w:rsid w:val="165347D4"/>
    <w:rsid w:val="169F551D"/>
    <w:rsid w:val="1A231FC1"/>
    <w:rsid w:val="1B974A15"/>
    <w:rsid w:val="1C42747C"/>
    <w:rsid w:val="1C96698A"/>
    <w:rsid w:val="1E264941"/>
    <w:rsid w:val="1F79582C"/>
    <w:rsid w:val="1FC97167"/>
    <w:rsid w:val="2014250D"/>
    <w:rsid w:val="214D44F3"/>
    <w:rsid w:val="216F368F"/>
    <w:rsid w:val="2350145F"/>
    <w:rsid w:val="23F279DF"/>
    <w:rsid w:val="244E7ABC"/>
    <w:rsid w:val="24556458"/>
    <w:rsid w:val="24B855A2"/>
    <w:rsid w:val="25662520"/>
    <w:rsid w:val="25871364"/>
    <w:rsid w:val="25E427CB"/>
    <w:rsid w:val="26D134D1"/>
    <w:rsid w:val="27765E26"/>
    <w:rsid w:val="28796763"/>
    <w:rsid w:val="28A32C4B"/>
    <w:rsid w:val="29016F13"/>
    <w:rsid w:val="2A0E67EA"/>
    <w:rsid w:val="2A846AAC"/>
    <w:rsid w:val="2C3B13EC"/>
    <w:rsid w:val="2C5D75B5"/>
    <w:rsid w:val="2CC17B44"/>
    <w:rsid w:val="2CF0667B"/>
    <w:rsid w:val="2D0530CD"/>
    <w:rsid w:val="2EAE2834"/>
    <w:rsid w:val="2F385168"/>
    <w:rsid w:val="2F483211"/>
    <w:rsid w:val="2FF975BD"/>
    <w:rsid w:val="30AC28B9"/>
    <w:rsid w:val="31201FF4"/>
    <w:rsid w:val="33436FAF"/>
    <w:rsid w:val="365A6A30"/>
    <w:rsid w:val="36A22794"/>
    <w:rsid w:val="37C130EE"/>
    <w:rsid w:val="38AE2074"/>
    <w:rsid w:val="39561EE2"/>
    <w:rsid w:val="3A5C534F"/>
    <w:rsid w:val="3ADA6DA0"/>
    <w:rsid w:val="3AE05B43"/>
    <w:rsid w:val="3CF278A5"/>
    <w:rsid w:val="3E27731D"/>
    <w:rsid w:val="3E344619"/>
    <w:rsid w:val="3ED90883"/>
    <w:rsid w:val="3EDD47E1"/>
    <w:rsid w:val="3FA33F8A"/>
    <w:rsid w:val="3FDA2F9E"/>
    <w:rsid w:val="3FDB2873"/>
    <w:rsid w:val="400647A9"/>
    <w:rsid w:val="428C7F28"/>
    <w:rsid w:val="44112320"/>
    <w:rsid w:val="461C7FEF"/>
    <w:rsid w:val="466B2BA2"/>
    <w:rsid w:val="471728F8"/>
    <w:rsid w:val="476D46F8"/>
    <w:rsid w:val="47D442AF"/>
    <w:rsid w:val="48233009"/>
    <w:rsid w:val="48D16F09"/>
    <w:rsid w:val="48DA5DBD"/>
    <w:rsid w:val="491017DF"/>
    <w:rsid w:val="491E107A"/>
    <w:rsid w:val="4B271062"/>
    <w:rsid w:val="4B292275"/>
    <w:rsid w:val="4BA803F5"/>
    <w:rsid w:val="4BB005E4"/>
    <w:rsid w:val="4CF17B79"/>
    <w:rsid w:val="4D956757"/>
    <w:rsid w:val="4DC62DB4"/>
    <w:rsid w:val="4FAD422B"/>
    <w:rsid w:val="4FE17039"/>
    <w:rsid w:val="520C2D5F"/>
    <w:rsid w:val="521C7446"/>
    <w:rsid w:val="52727DC1"/>
    <w:rsid w:val="52CC2C1B"/>
    <w:rsid w:val="53360094"/>
    <w:rsid w:val="53411E8B"/>
    <w:rsid w:val="53585079"/>
    <w:rsid w:val="53AE40CE"/>
    <w:rsid w:val="540F084B"/>
    <w:rsid w:val="550F7EF4"/>
    <w:rsid w:val="55E728F1"/>
    <w:rsid w:val="56736B09"/>
    <w:rsid w:val="58561B36"/>
    <w:rsid w:val="585D573D"/>
    <w:rsid w:val="58E81E30"/>
    <w:rsid w:val="5A5A5963"/>
    <w:rsid w:val="5CB0535B"/>
    <w:rsid w:val="5F976423"/>
    <w:rsid w:val="5F9DCCB2"/>
    <w:rsid w:val="615D7134"/>
    <w:rsid w:val="636E5628"/>
    <w:rsid w:val="64B96F1B"/>
    <w:rsid w:val="65501489"/>
    <w:rsid w:val="65532D27"/>
    <w:rsid w:val="65E70C92"/>
    <w:rsid w:val="676F61F9"/>
    <w:rsid w:val="69A022B3"/>
    <w:rsid w:val="69CE0BCF"/>
    <w:rsid w:val="6A841BD5"/>
    <w:rsid w:val="6BB64010"/>
    <w:rsid w:val="6C300DB3"/>
    <w:rsid w:val="6E2D7665"/>
    <w:rsid w:val="6FEA4288"/>
    <w:rsid w:val="6FFE7D34"/>
    <w:rsid w:val="71DD5031"/>
    <w:rsid w:val="72840E99"/>
    <w:rsid w:val="72952BD1"/>
    <w:rsid w:val="75175DCD"/>
    <w:rsid w:val="763F191E"/>
    <w:rsid w:val="766B05BB"/>
    <w:rsid w:val="77443A25"/>
    <w:rsid w:val="77A45665"/>
    <w:rsid w:val="793057FF"/>
    <w:rsid w:val="79E975D0"/>
    <w:rsid w:val="7B292109"/>
    <w:rsid w:val="7CC3640F"/>
    <w:rsid w:val="7EF764F1"/>
    <w:rsid w:val="7FADEDAF"/>
    <w:rsid w:val="7FE24F7C"/>
    <w:rsid w:val="A5FFDCFE"/>
    <w:rsid w:val="AF77EE09"/>
    <w:rsid w:val="ECFFC950"/>
    <w:rsid w:val="EF7D8FF0"/>
    <w:rsid w:val="EFDFB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2584</Words>
  <Characters>2671</Characters>
  <Lines>174</Lines>
  <Paragraphs>199</Paragraphs>
  <TotalTime>1</TotalTime>
  <ScaleCrop>false</ScaleCrop>
  <LinksUpToDate>false</LinksUpToDate>
  <CharactersWithSpaces>2671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TY</cp:lastModifiedBy>
  <cp:lastPrinted>2025-06-18T07:56:00Z</cp:lastPrinted>
  <dcterms:modified xsi:type="dcterms:W3CDTF">2025-06-30T08:14:15Z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8E1371544CDD4325BFD099D478E20F40_12</vt:lpwstr>
  </property>
  <property fmtid="{D5CDD505-2E9C-101B-9397-08002B2CF9AE}" pid="4" name="KSOTemplateDocerSaveRecord">
    <vt:lpwstr>eyJoZGlkIjoiZTk5ZTAxZmY4ZjI0ZTRkMTkxYzllMTM0ZGM5ZGIyZjUiLCJ1c2VySWQiOiIyNDU0MDYzMTEifQ==</vt:lpwstr>
  </property>
</Properties>
</file>