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B5036">
      <w:pPr>
        <w:spacing w:line="600" w:lineRule="exact"/>
        <w:rPr>
          <w:rFonts w:hint="default" w:ascii="Times New Roman" w:hAnsi="Times New Roman" w:eastAsia="黑体"/>
          <w:color w:val="000000"/>
          <w:sz w:val="32"/>
          <w:szCs w:val="32"/>
          <w:lang w:val="en-US" w:eastAsia="zh-CN"/>
        </w:rPr>
      </w:pPr>
      <w:r>
        <w:rPr>
          <w:rFonts w:hint="eastAsia" w:ascii="Times New Roman" w:hAnsi="Times New Roman" w:eastAsia="黑体"/>
          <w:color w:val="000000"/>
          <w:sz w:val="32"/>
          <w:szCs w:val="32"/>
        </w:rPr>
        <w:t>附件</w:t>
      </w:r>
      <w:r>
        <w:rPr>
          <w:rFonts w:hint="eastAsia" w:eastAsia="黑体"/>
          <w:color w:val="000000"/>
          <w:sz w:val="32"/>
          <w:szCs w:val="32"/>
          <w:lang w:val="en-US" w:eastAsia="zh-CN"/>
        </w:rPr>
        <w:t>23</w:t>
      </w:r>
    </w:p>
    <w:p w14:paraId="1724D8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14:paraId="1B624D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lang w:val="en-US" w:eastAsia="zh-CN"/>
        </w:rPr>
      </w:pPr>
    </w:p>
    <w:p w14:paraId="27BAEA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2025年中央农业经营主体能力提升资金</w:t>
      </w:r>
    </w:p>
    <w:p w14:paraId="315DBE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（高素质农民培育）项目实施方案</w:t>
      </w:r>
    </w:p>
    <w:p w14:paraId="7FD2FB61">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32" w:firstLineChars="200"/>
        <w:textAlignment w:val="baseline"/>
        <w:outlineLvl w:val="9"/>
        <w:rPr>
          <w:rFonts w:hint="default" w:ascii="Times New Roman" w:hAnsi="Times New Roman" w:eastAsia="仿宋_GB2312" w:cs="Times New Roman"/>
          <w:b w:val="0"/>
          <w:bCs w:val="0"/>
          <w:color w:val="auto"/>
          <w:sz w:val="32"/>
          <w:szCs w:val="32"/>
          <w:lang w:val="en-US" w:eastAsia="zh-CN"/>
        </w:rPr>
      </w:pPr>
    </w:p>
    <w:p w14:paraId="44EE31F3">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eastAsia="zh-CN"/>
        </w:rPr>
        <w:t>农业农村部</w:t>
      </w:r>
      <w:r>
        <w:rPr>
          <w:rFonts w:hint="default" w:ascii="Times New Roman" w:hAnsi="Times New Roman" w:eastAsia="仿宋_GB2312" w:cs="Times New Roman"/>
          <w:b w:val="0"/>
          <w:bCs w:val="0"/>
          <w:color w:val="auto"/>
          <w:sz w:val="32"/>
          <w:szCs w:val="32"/>
          <w:lang w:val="en-US" w:eastAsia="zh-CN"/>
        </w:rPr>
        <w:t>办公厅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关于做好2025年高素质农民培育工作的通知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rPr>
        <w:t>要求</w:t>
      </w:r>
      <w:r>
        <w:rPr>
          <w:rFonts w:hint="default" w:ascii="Times New Roman" w:hAnsi="Times New Roman" w:eastAsia="仿宋_GB2312" w:cs="Times New Roman"/>
          <w:b w:val="0"/>
          <w:bCs w:val="0"/>
          <w:color w:val="auto"/>
          <w:sz w:val="32"/>
          <w:szCs w:val="32"/>
          <w:lang w:val="en-US" w:eastAsia="zh-CN"/>
        </w:rPr>
        <w:t>，围绕全省粮食和重要农产品稳产保供、乡村特色产业发展壮大和文明乡风建设等人才需求，结合全省农业农村发展实际，</w:t>
      </w:r>
      <w:r>
        <w:rPr>
          <w:rFonts w:hint="default" w:ascii="Times New Roman" w:hAnsi="Times New Roman" w:eastAsia="仿宋_GB2312" w:cs="Times New Roman"/>
          <w:b w:val="0"/>
          <w:bCs w:val="0"/>
          <w:color w:val="auto"/>
          <w:sz w:val="32"/>
          <w:szCs w:val="32"/>
          <w:lang w:val="en-US"/>
        </w:rPr>
        <w:t>制定本实施方案。</w:t>
      </w:r>
    </w:p>
    <w:p w14:paraId="6754DABE">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rPr>
        <w:t>一</w:t>
      </w:r>
      <w:r>
        <w:rPr>
          <w:rFonts w:hint="default" w:ascii="Times New Roman" w:hAnsi="Times New Roman" w:eastAsia="黑体" w:cs="Times New Roman"/>
          <w:b w:val="0"/>
          <w:bCs w:val="0"/>
          <w:color w:val="auto"/>
          <w:sz w:val="32"/>
          <w:szCs w:val="32"/>
          <w:lang w:val="en-US" w:eastAsia="zh-CN"/>
        </w:rPr>
        <w:t>、绩效目标</w:t>
      </w:r>
    </w:p>
    <w:p w14:paraId="42D381D7">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eastAsia="zh-CN"/>
        </w:rPr>
        <w:t>全省计划</w:t>
      </w:r>
      <w:r>
        <w:rPr>
          <w:rFonts w:hint="default" w:ascii="Times New Roman" w:hAnsi="Times New Roman" w:eastAsia="仿宋_GB2312" w:cs="Times New Roman"/>
          <w:b w:val="0"/>
          <w:bCs w:val="0"/>
          <w:color w:val="auto"/>
          <w:sz w:val="32"/>
          <w:szCs w:val="32"/>
          <w:lang w:val="en-US"/>
        </w:rPr>
        <w:t>培育高素质农民</w:t>
      </w:r>
      <w:r>
        <w:rPr>
          <w:rFonts w:hint="default" w:ascii="Times New Roman" w:hAnsi="Times New Roman" w:eastAsia="仿宋_GB2312" w:cs="Times New Roman"/>
          <w:b w:val="0"/>
          <w:bCs w:val="0"/>
          <w:color w:val="auto"/>
          <w:sz w:val="32"/>
          <w:szCs w:val="32"/>
          <w:lang w:val="en-US" w:eastAsia="zh-CN"/>
        </w:rPr>
        <w:t>16231</w:t>
      </w:r>
      <w:r>
        <w:rPr>
          <w:rFonts w:hint="default" w:ascii="Times New Roman" w:hAnsi="Times New Roman" w:eastAsia="仿宋_GB2312" w:cs="Times New Roman"/>
          <w:b w:val="0"/>
          <w:bCs w:val="0"/>
          <w:color w:val="auto"/>
          <w:sz w:val="32"/>
          <w:szCs w:val="32"/>
          <w:lang w:val="en-US"/>
        </w:rPr>
        <w:t>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其中</w:t>
      </w:r>
      <w:r>
        <w:rPr>
          <w:rFonts w:hint="default" w:ascii="Times New Roman" w:hAnsi="Times New Roman" w:eastAsia="仿宋_GB2312" w:cs="Times New Roman"/>
          <w:b w:val="0"/>
          <w:bCs w:val="0"/>
          <w:color w:val="auto"/>
          <w:sz w:val="32"/>
          <w:szCs w:val="32"/>
          <w:lang w:val="en-US" w:eastAsia="zh-CN"/>
        </w:rPr>
        <w:t>，常规培育</w:t>
      </w:r>
      <w:r>
        <w:rPr>
          <w:rFonts w:hint="default" w:ascii="Times New Roman" w:hAnsi="Times New Roman" w:eastAsia="仿宋_GB2312" w:cs="Times New Roman"/>
          <w:b w:val="0"/>
          <w:bCs w:val="0"/>
          <w:color w:val="auto"/>
          <w:sz w:val="32"/>
          <w:szCs w:val="32"/>
          <w:lang w:val="en-US"/>
        </w:rPr>
        <w:t>任务</w:t>
      </w:r>
      <w:r>
        <w:rPr>
          <w:rFonts w:hint="default" w:ascii="Times New Roman" w:hAnsi="Times New Roman" w:eastAsia="仿宋_GB2312" w:cs="Times New Roman"/>
          <w:b w:val="0"/>
          <w:bCs w:val="0"/>
          <w:color w:val="auto"/>
          <w:sz w:val="32"/>
          <w:szCs w:val="32"/>
          <w:lang w:val="en-US" w:eastAsia="zh-CN"/>
        </w:rPr>
        <w:t>12957</w:t>
      </w:r>
      <w:r>
        <w:rPr>
          <w:rFonts w:hint="default" w:ascii="Times New Roman" w:hAnsi="Times New Roman" w:eastAsia="仿宋_GB2312" w:cs="Times New Roman"/>
          <w:b w:val="0"/>
          <w:bCs w:val="0"/>
          <w:color w:val="auto"/>
          <w:sz w:val="32"/>
          <w:szCs w:val="32"/>
          <w:lang w:val="en-US"/>
        </w:rPr>
        <w:t>人，</w:t>
      </w:r>
      <w:r>
        <w:rPr>
          <w:rFonts w:hint="default" w:ascii="Times New Roman" w:hAnsi="Times New Roman" w:eastAsia="仿宋_GB2312" w:cs="Times New Roman"/>
          <w:b w:val="0"/>
          <w:bCs w:val="0"/>
          <w:color w:val="auto"/>
          <w:sz w:val="32"/>
          <w:szCs w:val="32"/>
          <w:lang w:val="en-US" w:eastAsia="zh-CN"/>
        </w:rPr>
        <w:t>专题培育任务3274</w:t>
      </w:r>
      <w:r>
        <w:rPr>
          <w:rFonts w:hint="default" w:ascii="Times New Roman" w:hAnsi="Times New Roman" w:eastAsia="仿宋_GB2312" w:cs="Times New Roman"/>
          <w:b w:val="0"/>
          <w:bCs w:val="0"/>
          <w:color w:val="auto"/>
          <w:sz w:val="32"/>
          <w:szCs w:val="32"/>
          <w:lang w:val="en-US"/>
        </w:rPr>
        <w:t>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农民学员满意度达到90%以上。</w:t>
      </w:r>
    </w:p>
    <w:p w14:paraId="1C480CEC">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二、实施条件</w:t>
      </w:r>
    </w:p>
    <w:p w14:paraId="5996C7B5">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全省各级农业农村部门均可作为项目主管部门组织本地高素质农民培育项目实施。</w:t>
      </w:r>
    </w:p>
    <w:p w14:paraId="24F10D31">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三、支持对象</w:t>
      </w:r>
    </w:p>
    <w:p w14:paraId="000DC585">
      <w:pPr>
        <w:pStyle w:val="14"/>
        <w:keepNext w:val="0"/>
        <w:keepLines w:val="0"/>
        <w:pageBreakBefore w:val="0"/>
        <w:kinsoku/>
        <w:wordWrap/>
        <w:overflowPunct/>
        <w:topLinePunct w:val="0"/>
        <w:autoSpaceDE/>
        <w:autoSpaceDN/>
        <w:bidi w:val="0"/>
        <w:adjustRightInd/>
        <w:snapToGrid/>
        <w:spacing w:line="600" w:lineRule="exact"/>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各级农业农村部门认定的承担任务的培训机构。</w:t>
      </w:r>
    </w:p>
    <w:p w14:paraId="673EE613">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四、支持标准</w:t>
      </w:r>
    </w:p>
    <w:p w14:paraId="2CD8C900">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根据国家和省级培训资金管理规定，按照专项资金额度和培训任务合理测算资金标准，</w:t>
      </w:r>
      <w:r>
        <w:rPr>
          <w:rFonts w:hint="default" w:ascii="Times New Roman" w:hAnsi="Times New Roman" w:eastAsia="仿宋_GB2312" w:cs="Times New Roman"/>
          <w:b w:val="0"/>
          <w:bCs w:val="0"/>
          <w:color w:val="auto"/>
          <w:sz w:val="32"/>
          <w:szCs w:val="32"/>
          <w:lang w:val="en-US"/>
        </w:rPr>
        <w:t>参照《关于印发〈吉林省省直机关差旅费、会议费、培训费有关问题解答〉的通知》（吉财党群〔2019〕162号文件）和《关于印发〈吉林省省直机关培训费管理办法〉的通知》（吉财党群〔2017〕1059号）等相关文件</w:t>
      </w:r>
      <w:r>
        <w:rPr>
          <w:rFonts w:hint="default" w:ascii="Times New Roman" w:hAnsi="Times New Roman" w:eastAsia="仿宋_GB2312" w:cs="Times New Roman"/>
          <w:b w:val="0"/>
          <w:bCs w:val="0"/>
          <w:color w:val="auto"/>
          <w:sz w:val="32"/>
          <w:szCs w:val="32"/>
          <w:lang w:val="en-US" w:eastAsia="zh-CN"/>
        </w:rPr>
        <w:t>，按照省内培训不超过400元/人/天，省外培训不超过550元/人/天</w:t>
      </w:r>
      <w:r>
        <w:rPr>
          <w:rFonts w:hint="default" w:ascii="Times New Roman" w:hAnsi="Times New Roman" w:eastAsia="仿宋_GB2312" w:cs="Times New Roman"/>
          <w:b w:val="0"/>
          <w:bCs w:val="0"/>
          <w:color w:val="auto"/>
          <w:sz w:val="32"/>
          <w:szCs w:val="32"/>
          <w:lang w:val="en-US"/>
        </w:rPr>
        <w:t>执行。</w:t>
      </w:r>
    </w:p>
    <w:p w14:paraId="43B9ECA9">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五、实施内容</w:t>
      </w:r>
    </w:p>
    <w:p w14:paraId="4913DE64">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（一）常规培育任务</w:t>
      </w:r>
    </w:p>
    <w:p w14:paraId="7026FC18">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坚持需求导向、质量优先，分层实施、分级管理。未承担专题班任务的市县可根据实际需求，在常规培育任务中开展相同类型的培训。</w:t>
      </w:r>
    </w:p>
    <w:p w14:paraId="54E51BB1">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1.粮油和重要农产品生产经营主体能力提升培训。</w:t>
      </w:r>
      <w:r>
        <w:rPr>
          <w:rFonts w:hint="default" w:ascii="Times New Roman" w:hAnsi="Times New Roman" w:eastAsia="仿宋_GB2312" w:cs="Times New Roman"/>
          <w:b w:val="0"/>
          <w:bCs w:val="0"/>
          <w:color w:val="000000"/>
          <w:kern w:val="0"/>
          <w:sz w:val="32"/>
          <w:szCs w:val="32"/>
          <w:lang w:val="en-US" w:eastAsia="zh-CN"/>
        </w:rPr>
        <w:t>围绕保障国家粮食安全，以粮油领域新品种、新技术、新装备应用等为主要内容，</w:t>
      </w:r>
      <w:r>
        <w:rPr>
          <w:rFonts w:hint="eastAsia" w:eastAsia="仿宋_GB2312"/>
          <w:color w:val="000000"/>
          <w:szCs w:val="32"/>
          <w:lang w:eastAsia="zh-CN"/>
        </w:rPr>
        <w:t>在</w:t>
      </w:r>
      <w:r>
        <w:rPr>
          <w:rFonts w:eastAsia="仿宋_GB2312"/>
          <w:color w:val="000000"/>
          <w:szCs w:val="32"/>
        </w:rPr>
        <w:t>大豆、玉米</w:t>
      </w:r>
      <w:r>
        <w:rPr>
          <w:rFonts w:hint="eastAsia" w:eastAsia="仿宋_GB2312"/>
          <w:color w:val="000000"/>
          <w:szCs w:val="32"/>
          <w:lang w:eastAsia="zh-CN"/>
        </w:rPr>
        <w:t>、水稻</w:t>
      </w:r>
      <w:r>
        <w:rPr>
          <w:rFonts w:eastAsia="仿宋_GB2312"/>
          <w:color w:val="000000"/>
          <w:szCs w:val="32"/>
        </w:rPr>
        <w:t>等</w:t>
      </w:r>
      <w:r>
        <w:rPr>
          <w:rFonts w:hint="eastAsia" w:eastAsia="仿宋_GB2312"/>
          <w:color w:val="000000"/>
          <w:szCs w:val="32"/>
          <w:lang w:eastAsia="zh-CN"/>
        </w:rPr>
        <w:t>粮油</w:t>
      </w:r>
      <w:r>
        <w:rPr>
          <w:rFonts w:eastAsia="仿宋_GB2312"/>
          <w:color w:val="000000"/>
          <w:szCs w:val="32"/>
        </w:rPr>
        <w:t>作物大面积单产提升整建制推进县开展</w:t>
      </w:r>
      <w:r>
        <w:rPr>
          <w:rFonts w:hint="default" w:ascii="Times New Roman" w:hAnsi="Times New Roman" w:eastAsia="仿宋_GB2312" w:cs="Times New Roman"/>
          <w:b w:val="0"/>
          <w:bCs w:val="0"/>
          <w:color w:val="000000"/>
          <w:kern w:val="0"/>
          <w:sz w:val="32"/>
          <w:szCs w:val="32"/>
          <w:lang w:val="en-US" w:eastAsia="zh-CN"/>
        </w:rPr>
        <w:t>全产业链技术或单项关键技术培训</w:t>
      </w:r>
      <w:r>
        <w:rPr>
          <w:rFonts w:hint="eastAsia" w:eastAsia="仿宋_GB2312" w:cs="Times New Roman"/>
          <w:b w:val="0"/>
          <w:bCs w:val="0"/>
          <w:color w:val="000000"/>
          <w:kern w:val="0"/>
          <w:sz w:val="32"/>
          <w:szCs w:val="32"/>
          <w:lang w:val="en-US" w:eastAsia="zh-CN"/>
        </w:rPr>
        <w:t>，推动粮油作物增产。</w:t>
      </w:r>
      <w:r>
        <w:rPr>
          <w:rFonts w:hint="default" w:ascii="Times New Roman" w:hAnsi="Times New Roman" w:eastAsia="仿宋_GB2312" w:cs="Times New Roman"/>
          <w:b w:val="0"/>
          <w:bCs w:val="0"/>
          <w:color w:val="000000"/>
          <w:kern w:val="0"/>
          <w:sz w:val="32"/>
          <w:szCs w:val="32"/>
          <w:lang w:val="en-US" w:eastAsia="zh-CN"/>
        </w:rPr>
        <w:t>在适宜地区普及水肥一体化技术，推进良田、良种、良法、良机、智慧农业有机融合，提升新型农业经营主体和服务主体的技术技能水平，</w:t>
      </w:r>
      <w:r>
        <w:rPr>
          <w:rFonts w:hint="default" w:ascii="Times New Roman" w:hAnsi="Times New Roman" w:eastAsia="仿宋_GB2312" w:cs="Times New Roman"/>
          <w:b w:val="0"/>
          <w:bCs w:val="0"/>
          <w:color w:val="000000"/>
          <w:sz w:val="32"/>
          <w:szCs w:val="32"/>
          <w:lang w:val="en-US" w:eastAsia="zh-CN"/>
        </w:rPr>
        <w:t>助力其扩大生产规模，提高生产经营能力，保障粮食等重要农产品的稳定供应。</w:t>
      </w:r>
    </w:p>
    <w:p w14:paraId="798E8DF5">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2.乡村新产业新业态带头人培训。面向</w:t>
      </w:r>
      <w:r>
        <w:rPr>
          <w:rFonts w:hint="default" w:ascii="Times New Roman" w:hAnsi="Times New Roman" w:eastAsia="仿宋_GB2312" w:cs="Times New Roman"/>
          <w:b w:val="0"/>
          <w:bCs w:val="0"/>
          <w:color w:val="auto"/>
          <w:sz w:val="32"/>
          <w:szCs w:val="32"/>
          <w:lang w:val="en-US"/>
        </w:rPr>
        <w:t>院校毕业生、农民工和退役军人等返乡入乡</w:t>
      </w:r>
      <w:r>
        <w:rPr>
          <w:rFonts w:hint="default" w:ascii="Times New Roman" w:hAnsi="Times New Roman" w:eastAsia="仿宋_GB2312" w:cs="Times New Roman"/>
          <w:b w:val="0"/>
          <w:bCs w:val="0"/>
          <w:color w:val="auto"/>
          <w:sz w:val="32"/>
          <w:szCs w:val="32"/>
          <w:lang w:val="en-US" w:eastAsia="zh-CN"/>
        </w:rPr>
        <w:t>青年群体，以</w:t>
      </w:r>
      <w:r>
        <w:rPr>
          <w:rFonts w:hint="default" w:ascii="Times New Roman" w:hAnsi="Times New Roman" w:eastAsia="仿宋_GB2312" w:cs="Times New Roman"/>
          <w:b w:val="0"/>
          <w:bCs w:val="0"/>
          <w:color w:val="auto"/>
          <w:kern w:val="0"/>
          <w:sz w:val="32"/>
          <w:szCs w:val="32"/>
          <w:lang w:val="en-US" w:eastAsia="zh-CN"/>
        </w:rPr>
        <w:t>农村一二三产业融合发展和乡村新产业、新业态的人才为重点，围绕电商与数字营销、乡村旅游与休闲农业、特色农产品加工业、生态渔业等融合的“农业+”新产业，培养一批素质能力与乡村新产业新业态高度契合，具有长期发展带动能力的青年带头人。鼓励各地举办专门面向女农民的培训班。</w:t>
      </w:r>
    </w:p>
    <w:p w14:paraId="21195AE6">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文明乡风建设素质素养提升培训。围绕乡村建设、乡村治理、乡村发展对各类人才的需求开展培训，支持对乡镇和边境村乡村治理从业人员培训，持续提升农民参与乡村建设、乡村治理的积极性和能力水平。增设农村移风易俗课程，采取案例讲解、观看宣传视频等多种方式宣传移风易俗，提升农民践行移风易俗的自觉意识，培育文明乡风。</w:t>
      </w:r>
    </w:p>
    <w:p w14:paraId="2346C72F">
      <w:pPr>
        <w:pStyle w:val="14"/>
        <w:keepNext w:val="0"/>
        <w:keepLines w:val="0"/>
        <w:pageBreakBefore w:val="0"/>
        <w:kinsoku/>
        <w:wordWrap/>
        <w:overflowPunct/>
        <w:topLinePunct w:val="0"/>
        <w:autoSpaceDE/>
        <w:autoSpaceDN/>
        <w:bidi w:val="0"/>
        <w:adjustRightInd/>
        <w:snapToGrid/>
        <w:spacing w:line="600" w:lineRule="exact"/>
        <w:ind w:left="0" w:leftChars="0" w:firstLine="632"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4.人参及特色农牧产品种养技术提升培训。深入树立和</w:t>
      </w:r>
      <w:r>
        <w:rPr>
          <w:rFonts w:hint="default" w:ascii="Times New Roman" w:hAnsi="Times New Roman" w:eastAsia="仿宋_GB2312" w:cs="Times New Roman"/>
          <w:b w:val="0"/>
          <w:bCs w:val="0"/>
          <w:color w:val="auto"/>
          <w:kern w:val="0"/>
          <w:sz w:val="32"/>
          <w:szCs w:val="32"/>
          <w:lang w:val="en-US" w:eastAsia="zh-CN"/>
        </w:rPr>
        <w:t>践行大食物观，构建多元化食物供给体系，围绕人参、中药材、食用菌、蔬菜、水果、水产等特色农产品种植技术、质量安全和绿色发展等知识为主要内容，开展</w:t>
      </w:r>
      <w:r>
        <w:rPr>
          <w:rFonts w:hint="default" w:ascii="Times New Roman" w:hAnsi="Times New Roman" w:eastAsia="仿宋_GB2312" w:cs="Times New Roman"/>
          <w:b w:val="0"/>
          <w:bCs w:val="0"/>
          <w:color w:val="auto"/>
          <w:sz w:val="32"/>
          <w:szCs w:val="32"/>
          <w:lang w:val="en-US" w:eastAsia="zh-CN"/>
        </w:rPr>
        <w:t>绿色种植、减肥减药、生物防控、适时采收、生态养殖等技术培训，助推人参及特色农产品产业高质量发展。围绕肉牛、奶牛等畜禽品种选择繁育、饲料营养和科学喂养、资源循环利用等方面，开展理论知识与实操技能培训，助力养殖业绿色可持续发展。</w:t>
      </w:r>
    </w:p>
    <w:p w14:paraId="6EE176F0">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（二）专题培育任务</w:t>
      </w:r>
    </w:p>
    <w:p w14:paraId="257A5B21">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省市县要对本级专题培育任务进行整体设计，明确项目目标、实施内容和质量要求，在项目申报、评审、审核和任务下达等环节，必须严格规范，不得以需求摸底、会议协商等方式替代竞争立项。</w:t>
      </w:r>
    </w:p>
    <w:p w14:paraId="16427779">
      <w:pPr>
        <w:keepNext w:val="0"/>
        <w:keepLines w:val="0"/>
        <w:pageBreakBefore w:val="0"/>
        <w:kinsoku/>
        <w:wordWrap/>
        <w:overflowPunct/>
        <w:topLinePunct w:val="0"/>
        <w:autoSpaceDE/>
        <w:autoSpaceDN/>
        <w:bidi w:val="0"/>
        <w:adjustRightInd/>
        <w:snapToGrid/>
        <w:spacing w:line="600" w:lineRule="exact"/>
        <w:ind w:firstLine="632"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1.农机手技能提升培训专题班。</w:t>
      </w:r>
      <w:r>
        <w:rPr>
          <w:rFonts w:hint="default" w:ascii="Times New Roman" w:hAnsi="Times New Roman" w:eastAsia="仿宋_GB2312" w:cs="Times New Roman"/>
          <w:b w:val="0"/>
          <w:bCs w:val="0"/>
          <w:color w:val="auto"/>
          <w:kern w:val="0"/>
          <w:sz w:val="32"/>
          <w:szCs w:val="32"/>
          <w:lang w:val="en-US" w:eastAsia="zh-CN"/>
        </w:rPr>
        <w:t>聚焦主要粮油作物耕种管收机械化作业环节，面向专业农机手、农机大户和农机作业服务组织带头人，开展粮油作物高质量机播、高效飞防植保、机收减损、农机抗灾救灾、低空经济场景应用和农机安全生产等技术技能培训，突出实操实训和作业演练，着力培养一批高素质农机手、农业生产无人机飞手，推动农业机械化全程全面高质量发展，提升农机作业服务质量。</w:t>
      </w:r>
    </w:p>
    <w:p w14:paraId="0CFB8F8D">
      <w:pPr>
        <w:keepNext w:val="0"/>
        <w:keepLines w:val="0"/>
        <w:pageBreakBefore w:val="0"/>
        <w:kinsoku/>
        <w:wordWrap/>
        <w:overflowPunct/>
        <w:topLinePunct w:val="0"/>
        <w:autoSpaceDE/>
        <w:autoSpaceDN/>
        <w:bidi w:val="0"/>
        <w:adjustRightInd/>
        <w:snapToGrid/>
        <w:spacing w:line="600" w:lineRule="exact"/>
        <w:ind w:firstLine="632"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2.乡土文化能人培训专题班。聚焦保护传承农耕文化、践行移风易俗等内容，遴选具有文化艺术特长、长期扎根乡村的农民文化骨干和具备农文旅融合发展基础的相关主体从业者，开展乡村礼俗传承人、农耕技艺传承人和乡村工匠等乡村文化人才培训，培养一批乡村文艺创作者、乡村文化传播者和农文旅融合型产业带头人。</w:t>
      </w:r>
    </w:p>
    <w:p w14:paraId="2A8BB0FA">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3.新型经营主体数字化技能应用能力提升培训专题班。</w:t>
      </w:r>
      <w:r>
        <w:rPr>
          <w:rFonts w:hint="default" w:ascii="Times New Roman" w:hAnsi="Times New Roman" w:eastAsia="仿宋_GB2312" w:cs="Times New Roman"/>
          <w:b w:val="0"/>
          <w:bCs w:val="0"/>
          <w:color w:val="auto"/>
          <w:kern w:val="0"/>
          <w:sz w:val="32"/>
          <w:szCs w:val="32"/>
          <w:lang w:val="en-US" w:eastAsia="zh-CN"/>
        </w:rPr>
        <w:t>聚焦吉林省玉米、水稻、人参、梅花鹿等优势特色农产品产业，面向家庭农场主、农民专业合作社带头人、农业企业负责人等，围绕产、供、销各环节数字化服务应用、农产品品牌打造等内容开展培训，促进农产品网络销售，增加农产品附加值。</w:t>
      </w:r>
    </w:p>
    <w:p w14:paraId="16A5F5E8">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六、实施要求</w:t>
      </w:r>
    </w:p>
    <w:p w14:paraId="1EE96AAC">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（一）强化组织管理。</w:t>
      </w:r>
      <w:r>
        <w:rPr>
          <w:rFonts w:hint="default" w:ascii="Times New Roman" w:hAnsi="Times New Roman" w:eastAsia="仿宋_GB2312" w:cs="Times New Roman"/>
          <w:b w:val="0"/>
          <w:bCs w:val="0"/>
          <w:color w:val="auto"/>
          <w:sz w:val="32"/>
          <w:szCs w:val="32"/>
          <w:lang w:val="en-US" w:eastAsia="zh-CN"/>
        </w:rPr>
        <w:t>严格按照农业农村部《高素质农民培育管理规程（试行）》开展本地区高素质农民培育工作。省级定期开展市县两级管理人员培训，持续提升各级管理水平。各市县农业农村部门要结合本地实际</w:t>
      </w:r>
      <w:r>
        <w:rPr>
          <w:rFonts w:hint="default" w:ascii="Times New Roman" w:hAnsi="Times New Roman" w:eastAsia="仿宋_GB2312" w:cs="Times New Roman"/>
          <w:b w:val="0"/>
          <w:bCs w:val="0"/>
          <w:color w:val="auto"/>
          <w:sz w:val="32"/>
          <w:szCs w:val="32"/>
          <w:lang w:val="en-US"/>
        </w:rPr>
        <w:t>制定</w:t>
      </w:r>
      <w:r>
        <w:rPr>
          <w:rFonts w:hint="default" w:ascii="Times New Roman" w:hAnsi="Times New Roman" w:eastAsia="仿宋_GB2312" w:cs="Times New Roman"/>
          <w:b w:val="0"/>
          <w:bCs w:val="0"/>
          <w:color w:val="auto"/>
          <w:sz w:val="32"/>
          <w:szCs w:val="32"/>
          <w:lang w:val="en-US" w:eastAsia="zh-CN"/>
        </w:rPr>
        <w:t>年度</w:t>
      </w:r>
      <w:r>
        <w:rPr>
          <w:rFonts w:hint="default" w:ascii="Times New Roman" w:hAnsi="Times New Roman" w:eastAsia="仿宋_GB2312" w:cs="Times New Roman"/>
          <w:b w:val="0"/>
          <w:bCs w:val="0"/>
          <w:color w:val="auto"/>
          <w:sz w:val="32"/>
          <w:szCs w:val="32"/>
          <w:lang w:val="en-US"/>
        </w:rPr>
        <w:t>实施方案，</w:t>
      </w:r>
      <w:r>
        <w:rPr>
          <w:rFonts w:hint="default" w:ascii="Times New Roman" w:hAnsi="Times New Roman" w:eastAsia="仿宋_GB2312" w:cs="Times New Roman"/>
          <w:b w:val="0"/>
          <w:bCs w:val="0"/>
          <w:color w:val="auto"/>
          <w:sz w:val="32"/>
          <w:szCs w:val="32"/>
          <w:lang w:val="en-US" w:eastAsia="zh-CN"/>
        </w:rPr>
        <w:t>正式文件报送省农业农村厅备案。</w:t>
      </w:r>
    </w:p>
    <w:p w14:paraId="30C12D52">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（二）强化资源管理。</w:t>
      </w:r>
      <w:r>
        <w:rPr>
          <w:rFonts w:hint="default" w:ascii="Times New Roman" w:hAnsi="Times New Roman" w:eastAsia="仿宋_GB2312" w:cs="Times New Roman"/>
          <w:b w:val="0"/>
          <w:bCs w:val="0"/>
          <w:color w:val="auto"/>
          <w:sz w:val="32"/>
          <w:szCs w:val="32"/>
          <w:lang w:val="en-US" w:eastAsia="zh-CN"/>
        </w:rPr>
        <w:t>支持</w:t>
      </w:r>
      <w:r>
        <w:rPr>
          <w:rFonts w:hint="default" w:ascii="Times New Roman" w:hAnsi="Times New Roman" w:eastAsia="仿宋_GB2312" w:cs="Times New Roman"/>
          <w:b w:val="0"/>
          <w:bCs w:val="0"/>
          <w:color w:val="auto"/>
          <w:sz w:val="32"/>
          <w:szCs w:val="32"/>
          <w:lang w:val="en-US"/>
        </w:rPr>
        <w:t>农业广播电视学校</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农业（农机）技术推广</w:t>
      </w:r>
      <w:r>
        <w:rPr>
          <w:rFonts w:hint="default" w:ascii="Times New Roman" w:hAnsi="Times New Roman" w:eastAsia="仿宋_GB2312" w:cs="Times New Roman"/>
          <w:b w:val="0"/>
          <w:bCs w:val="0"/>
          <w:color w:val="auto"/>
          <w:sz w:val="32"/>
          <w:szCs w:val="32"/>
          <w:lang w:val="en-US" w:eastAsia="zh-CN"/>
        </w:rPr>
        <w:t>机构、农业科研院所、涉农院校参与高素质农民培育工作。配强师资力量，支持将</w:t>
      </w:r>
      <w:r>
        <w:rPr>
          <w:rFonts w:hint="default" w:ascii="Times New Roman" w:hAnsi="Times New Roman" w:eastAsia="仿宋_GB2312" w:cs="Times New Roman"/>
          <w:b w:val="0"/>
          <w:bCs w:val="0"/>
          <w:color w:val="auto"/>
          <w:sz w:val="32"/>
          <w:szCs w:val="32"/>
          <w:lang w:val="en-US"/>
        </w:rPr>
        <w:t>涉农部门、院校专家教授、农技推广人员、乡土人才等</w:t>
      </w:r>
      <w:r>
        <w:rPr>
          <w:rFonts w:hint="default" w:ascii="Times New Roman" w:hAnsi="Times New Roman" w:eastAsia="仿宋_GB2312" w:cs="Times New Roman"/>
          <w:b w:val="0"/>
          <w:bCs w:val="0"/>
          <w:color w:val="auto"/>
          <w:sz w:val="32"/>
          <w:szCs w:val="32"/>
          <w:lang w:val="en-US" w:eastAsia="zh-CN"/>
        </w:rPr>
        <w:t>纳入师资队伍，打造</w:t>
      </w:r>
      <w:r>
        <w:rPr>
          <w:rFonts w:hint="default" w:ascii="Times New Roman" w:hAnsi="Times New Roman" w:eastAsia="仿宋_GB2312" w:cs="Times New Roman"/>
          <w:b w:val="0"/>
          <w:bCs w:val="0"/>
          <w:color w:val="auto"/>
          <w:sz w:val="32"/>
          <w:szCs w:val="32"/>
          <w:lang w:val="en-US"/>
        </w:rPr>
        <w:t>专家教授+农技推广人员+</w:t>
      </w:r>
      <w:r>
        <w:rPr>
          <w:rFonts w:hint="default" w:ascii="Times New Roman" w:hAnsi="Times New Roman" w:eastAsia="仿宋_GB2312" w:cs="Times New Roman"/>
          <w:b w:val="0"/>
          <w:bCs w:val="0"/>
          <w:color w:val="auto"/>
          <w:sz w:val="32"/>
          <w:szCs w:val="32"/>
          <w:lang w:val="en-US" w:eastAsia="zh-CN"/>
        </w:rPr>
        <w:t>乡</w:t>
      </w:r>
      <w:r>
        <w:rPr>
          <w:rFonts w:hint="default" w:ascii="Times New Roman" w:hAnsi="Times New Roman" w:eastAsia="仿宋_GB2312" w:cs="Times New Roman"/>
          <w:b w:val="0"/>
          <w:bCs w:val="0"/>
          <w:color w:val="auto"/>
          <w:sz w:val="32"/>
          <w:szCs w:val="32"/>
          <w:lang w:val="en-US"/>
        </w:rPr>
        <w:t>土专家</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rPr>
        <w:t>师资结构</w:t>
      </w:r>
      <w:r>
        <w:rPr>
          <w:rFonts w:hint="default" w:ascii="Times New Roman" w:hAnsi="Times New Roman" w:eastAsia="仿宋_GB2312" w:cs="Times New Roman"/>
          <w:b w:val="0"/>
          <w:bCs w:val="0"/>
          <w:color w:val="auto"/>
          <w:sz w:val="32"/>
          <w:szCs w:val="32"/>
          <w:lang w:val="en-US" w:eastAsia="zh-CN"/>
        </w:rPr>
        <w:t>。支持家庭农场、农民合作社等有偿承担农民实习实训任务。鼓励培训机构探索AR（增强现实）VR（虚拟现实）等新技术手段在高素质农民培育领域的应用，提高培训有效性。</w:t>
      </w:r>
    </w:p>
    <w:p w14:paraId="201C6C14">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（三）强化典型宣传。</w:t>
      </w:r>
      <w:r>
        <w:rPr>
          <w:rFonts w:hint="default" w:ascii="Times New Roman" w:hAnsi="Times New Roman" w:eastAsia="仿宋_GB2312" w:cs="Times New Roman"/>
          <w:b w:val="0"/>
          <w:bCs w:val="0"/>
          <w:color w:val="auto"/>
          <w:sz w:val="32"/>
          <w:szCs w:val="32"/>
          <w:lang w:val="en-US" w:eastAsia="zh-CN"/>
        </w:rPr>
        <w:t>深入挖掘高素质农民培育工作中的创新经验与实践案例，通过多维度渠道开展优秀典型学员宣传。持续加大培育成效传播力度，依托报纸、电视等传统媒体的权威性和互联网新媒体的传播优势，进行立体式宣传报道，生动展现培育成果与学员风采，激发社会关注与参与热情。</w:t>
      </w:r>
    </w:p>
    <w:p w14:paraId="71012F38">
      <w:pPr>
        <w:pStyle w:val="14"/>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七、监管措施</w:t>
      </w:r>
    </w:p>
    <w:p w14:paraId="16305DE1">
      <w:pPr>
        <w:keepNext w:val="0"/>
        <w:keepLines w:val="0"/>
        <w:pageBreakBefore w:val="0"/>
        <w:kinsoku/>
        <w:wordWrap/>
        <w:overflowPunct/>
        <w:topLinePunct w:val="0"/>
        <w:autoSpaceDE/>
        <w:autoSpaceDN/>
        <w:bidi w:val="0"/>
        <w:adjustRightInd/>
        <w:snapToGrid/>
        <w:spacing w:line="600" w:lineRule="exact"/>
        <w:ind w:firstLine="632" w:firstLineChars="200"/>
        <w:rPr>
          <w:rFonts w:hint="default" w:ascii="Times New Roman" w:hAnsi="Times New Roman" w:eastAsia="仿宋_GB2312" w:cs="Times New Roman"/>
          <w:color w:val="auto"/>
          <w:sz w:val="32"/>
        </w:rPr>
      </w:pPr>
      <w:r>
        <w:rPr>
          <w:rFonts w:hint="default" w:ascii="Times New Roman" w:hAnsi="Times New Roman" w:eastAsia="楷体_GB2312" w:cs="Times New Roman"/>
          <w:b w:val="0"/>
          <w:bCs w:val="0"/>
          <w:color w:val="auto"/>
          <w:sz w:val="32"/>
          <w:szCs w:val="32"/>
          <w:lang w:val="en-US"/>
        </w:rPr>
        <w:t>（</w:t>
      </w:r>
      <w:r>
        <w:rPr>
          <w:rFonts w:hint="default" w:ascii="Times New Roman" w:hAnsi="Times New Roman" w:eastAsia="楷体_GB2312" w:cs="Times New Roman"/>
          <w:b w:val="0"/>
          <w:bCs w:val="0"/>
          <w:color w:val="auto"/>
          <w:sz w:val="32"/>
          <w:szCs w:val="32"/>
          <w:lang w:val="en-US" w:eastAsia="zh-CN"/>
        </w:rPr>
        <w:t>一</w:t>
      </w:r>
      <w:r>
        <w:rPr>
          <w:rFonts w:hint="default" w:ascii="Times New Roman" w:hAnsi="Times New Roman" w:eastAsia="楷体_GB2312" w:cs="Times New Roman"/>
          <w:b w:val="0"/>
          <w:bCs w:val="0"/>
          <w:color w:val="auto"/>
          <w:sz w:val="32"/>
          <w:szCs w:val="32"/>
          <w:lang w:val="en-US"/>
        </w:rPr>
        <w:t>）</w:t>
      </w:r>
      <w:r>
        <w:rPr>
          <w:rFonts w:hint="default" w:ascii="Times New Roman" w:hAnsi="Times New Roman" w:eastAsia="楷体_GB2312" w:cs="Times New Roman"/>
          <w:b w:val="0"/>
          <w:bCs w:val="0"/>
          <w:color w:val="auto"/>
          <w:sz w:val="32"/>
          <w:szCs w:val="32"/>
          <w:lang w:val="en-US" w:eastAsia="zh-CN"/>
        </w:rPr>
        <w:t>加强</w:t>
      </w:r>
      <w:r>
        <w:rPr>
          <w:rFonts w:hint="default" w:ascii="Times New Roman" w:hAnsi="Times New Roman" w:eastAsia="楷体_GB2312" w:cs="Times New Roman"/>
          <w:b w:val="0"/>
          <w:bCs w:val="0"/>
          <w:color w:val="auto"/>
          <w:sz w:val="32"/>
          <w:szCs w:val="32"/>
          <w:lang w:val="en-US"/>
        </w:rPr>
        <w:t>资金监管。</w:t>
      </w:r>
      <w:r>
        <w:rPr>
          <w:rFonts w:hint="default" w:ascii="Times New Roman" w:hAnsi="Times New Roman" w:eastAsia="仿宋_GB2312" w:cs="Times New Roman"/>
          <w:b w:val="0"/>
          <w:bCs w:val="0"/>
          <w:color w:val="auto"/>
          <w:sz w:val="32"/>
          <w:szCs w:val="32"/>
          <w:lang w:val="en-US" w:eastAsia="zh-CN"/>
        </w:rPr>
        <w:t>中央农业经营主体能力提升资金（高素质农民培育）是中央转移支付专项资金</w:t>
      </w:r>
      <w:r>
        <w:rPr>
          <w:rFonts w:hint="default" w:ascii="Times New Roman" w:hAnsi="Times New Roman" w:eastAsia="仿宋_GB2312" w:cs="Times New Roman"/>
          <w:b w:val="0"/>
          <w:bCs w:val="0"/>
          <w:color w:val="auto"/>
          <w:sz w:val="32"/>
          <w:szCs w:val="32"/>
          <w:lang w:val="en-US"/>
        </w:rPr>
        <w:t>，主要用于农业农村部门及</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机构开展高素质农民培育全过程的支出</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不得整合</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挤占、截留、挪用</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严禁以现金</w:t>
      </w:r>
      <w:r>
        <w:rPr>
          <w:rFonts w:hint="default" w:ascii="Times New Roman" w:hAnsi="Times New Roman" w:eastAsia="仿宋_GB2312" w:cs="Times New Roman"/>
          <w:b w:val="0"/>
          <w:bCs w:val="0"/>
          <w:color w:val="auto"/>
          <w:sz w:val="32"/>
          <w:szCs w:val="32"/>
          <w:lang w:val="en-US" w:eastAsia="zh-CN"/>
        </w:rPr>
        <w:t>形式</w:t>
      </w:r>
      <w:r>
        <w:rPr>
          <w:rFonts w:hint="default" w:ascii="Times New Roman" w:hAnsi="Times New Roman" w:eastAsia="仿宋_GB2312" w:cs="Times New Roman"/>
          <w:b w:val="0"/>
          <w:bCs w:val="0"/>
          <w:color w:val="auto"/>
          <w:sz w:val="32"/>
          <w:szCs w:val="32"/>
        </w:rPr>
        <w:t>直接分发给农民个人</w:t>
      </w:r>
      <w:r>
        <w:rPr>
          <w:rFonts w:hint="default" w:ascii="Times New Roman" w:hAnsi="Times New Roman" w:eastAsia="仿宋_GB2312" w:cs="Times New Roman"/>
          <w:b w:val="0"/>
          <w:bCs w:val="0"/>
          <w:color w:val="auto"/>
          <w:sz w:val="32"/>
          <w:szCs w:val="32"/>
          <w:lang w:val="en-US" w:eastAsia="zh-CN"/>
        </w:rPr>
        <w:t>。实践教学和跟踪服务费用应按实际支出</w:t>
      </w:r>
      <w:r>
        <w:rPr>
          <w:rFonts w:hint="eastAsia" w:eastAsia="仿宋_GB2312" w:cs="Times New Roman"/>
          <w:b w:val="0"/>
          <w:bCs w:val="0"/>
          <w:color w:val="auto"/>
          <w:sz w:val="32"/>
          <w:szCs w:val="32"/>
          <w:lang w:val="en-US" w:eastAsia="zh-CN"/>
        </w:rPr>
        <w:t>。各市县农业农村部门根据培训实际进度，分批次向省级报送</w:t>
      </w:r>
      <w:r>
        <w:rPr>
          <w:rFonts w:hint="default" w:eastAsia="仿宋_GB2312" w:cs="Times New Roman"/>
          <w:b w:val="0"/>
          <w:bCs w:val="0"/>
          <w:color w:val="auto"/>
          <w:sz w:val="32"/>
          <w:szCs w:val="32"/>
          <w:lang w:val="en-US" w:eastAsia="zh-CN"/>
        </w:rPr>
        <w:t>专项资金拨付申请</w:t>
      </w:r>
      <w:r>
        <w:rPr>
          <w:rFonts w:hint="eastAsia" w:eastAsia="仿宋_GB2312" w:cs="Times New Roman"/>
          <w:b w:val="0"/>
          <w:bCs w:val="0"/>
          <w:color w:val="auto"/>
          <w:sz w:val="32"/>
          <w:szCs w:val="32"/>
          <w:lang w:val="en-US" w:eastAsia="zh-CN"/>
        </w:rPr>
        <w:t>，省农业农村部门审核通过后</w:t>
      </w:r>
      <w:r>
        <w:rPr>
          <w:rFonts w:hint="default" w:ascii="Times New Roman" w:hAnsi="Times New Roman" w:eastAsia="仿宋_GB2312" w:cs="Times New Roman"/>
          <w:color w:val="auto"/>
          <w:sz w:val="32"/>
          <w:lang w:val="en-US" w:eastAsia="zh-CN"/>
        </w:rPr>
        <w:t>向省</w:t>
      </w:r>
      <w:r>
        <w:rPr>
          <w:rFonts w:hint="eastAsia" w:eastAsia="仿宋_GB2312" w:cs="Times New Roman"/>
          <w:color w:val="auto"/>
          <w:sz w:val="32"/>
          <w:lang w:val="en-US" w:eastAsia="zh-CN"/>
        </w:rPr>
        <w:t>级</w:t>
      </w:r>
      <w:r>
        <w:rPr>
          <w:rFonts w:hint="default" w:ascii="Times New Roman" w:hAnsi="Times New Roman" w:eastAsia="仿宋_GB2312" w:cs="Times New Roman"/>
          <w:color w:val="auto"/>
          <w:sz w:val="32"/>
          <w:lang w:val="en-US" w:eastAsia="zh-CN"/>
        </w:rPr>
        <w:t>财政</w:t>
      </w:r>
      <w:r>
        <w:rPr>
          <w:rFonts w:hint="eastAsia" w:eastAsia="仿宋_GB2312" w:cs="Times New Roman"/>
          <w:color w:val="auto"/>
          <w:sz w:val="32"/>
          <w:lang w:val="en-US" w:eastAsia="zh-CN"/>
        </w:rPr>
        <w:t>部门</w:t>
      </w:r>
      <w:r>
        <w:rPr>
          <w:rFonts w:hint="default" w:ascii="Times New Roman" w:hAnsi="Times New Roman" w:eastAsia="仿宋_GB2312" w:cs="Times New Roman"/>
          <w:color w:val="auto"/>
          <w:sz w:val="32"/>
          <w:lang w:val="en-US" w:eastAsia="zh-CN"/>
        </w:rPr>
        <w:t>提出资金调拨申请</w:t>
      </w:r>
      <w:r>
        <w:rPr>
          <w:rFonts w:hint="default" w:ascii="Times New Roman" w:hAnsi="Times New Roman" w:eastAsia="仿宋_GB2312" w:cs="Times New Roman"/>
          <w:b w:val="0"/>
          <w:bCs w:val="0"/>
          <w:color w:val="auto"/>
          <w:sz w:val="32"/>
          <w:szCs w:val="32"/>
          <w:lang w:val="en-US" w:eastAsia="zh-CN"/>
        </w:rPr>
        <w:t>，省</w:t>
      </w:r>
      <w:r>
        <w:rPr>
          <w:rFonts w:hint="eastAsia" w:eastAsia="仿宋_GB2312" w:cs="Times New Roman"/>
          <w:b w:val="0"/>
          <w:bCs w:val="0"/>
          <w:color w:val="auto"/>
          <w:sz w:val="32"/>
          <w:szCs w:val="32"/>
          <w:lang w:val="en-US" w:eastAsia="zh-CN"/>
        </w:rPr>
        <w:t>级财政部门</w:t>
      </w:r>
      <w:r>
        <w:rPr>
          <w:rFonts w:hint="default" w:ascii="Times New Roman" w:hAnsi="Times New Roman" w:eastAsia="仿宋_GB2312" w:cs="Times New Roman"/>
          <w:b w:val="0"/>
          <w:bCs w:val="0"/>
          <w:color w:val="auto"/>
          <w:sz w:val="32"/>
          <w:szCs w:val="32"/>
          <w:lang w:val="en-US" w:eastAsia="zh-CN"/>
        </w:rPr>
        <w:t>结合中央转移支付资金到位等情况调拨资金</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rPr>
        <w:t>未按进度</w:t>
      </w:r>
      <w:r>
        <w:rPr>
          <w:rFonts w:hint="default" w:ascii="Times New Roman" w:hAnsi="Times New Roman" w:eastAsia="仿宋_GB2312" w:cs="Times New Roman"/>
          <w:color w:val="auto"/>
          <w:sz w:val="32"/>
          <w:lang w:val="en-US" w:eastAsia="zh-CN"/>
        </w:rPr>
        <w:t>及时</w:t>
      </w:r>
      <w:r>
        <w:rPr>
          <w:rFonts w:hint="default" w:ascii="Times New Roman" w:hAnsi="Times New Roman" w:eastAsia="仿宋_GB2312" w:cs="Times New Roman"/>
          <w:color w:val="auto"/>
          <w:sz w:val="32"/>
        </w:rPr>
        <w:t>兑付专项资金的市县，</w:t>
      </w:r>
      <w:r>
        <w:rPr>
          <w:rFonts w:hint="default" w:ascii="Times New Roman" w:hAnsi="Times New Roman" w:eastAsia="仿宋_GB2312" w:cs="Times New Roman"/>
          <w:color w:val="auto"/>
          <w:sz w:val="32"/>
          <w:lang w:val="en-US" w:eastAsia="zh-CN"/>
        </w:rPr>
        <w:t>不予调拨后续批次资金</w:t>
      </w:r>
      <w:r>
        <w:rPr>
          <w:rFonts w:hint="default" w:ascii="Times New Roman" w:hAnsi="Times New Roman" w:eastAsia="仿宋_GB2312" w:cs="Times New Roman"/>
          <w:color w:val="auto"/>
          <w:sz w:val="32"/>
        </w:rPr>
        <w:t>。</w:t>
      </w:r>
    </w:p>
    <w:p w14:paraId="37877846">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（二）加强质量监管</w:t>
      </w:r>
      <w:r>
        <w:rPr>
          <w:rFonts w:hint="default" w:ascii="Times New Roman" w:hAnsi="Times New Roman" w:eastAsia="仿宋_GB2312" w:cs="Times New Roman"/>
          <w:b w:val="0"/>
          <w:bCs w:val="0"/>
          <w:color w:val="auto"/>
          <w:sz w:val="32"/>
          <w:szCs w:val="32"/>
          <w:lang w:val="en-US" w:eastAsia="zh-CN"/>
        </w:rPr>
        <w:t>。各市县农业农村部门</w:t>
      </w:r>
      <w:r>
        <w:rPr>
          <w:rFonts w:hint="default" w:ascii="Times New Roman" w:hAnsi="Times New Roman" w:eastAsia="仿宋_GB2312" w:cs="Times New Roman"/>
          <w:b w:val="0"/>
          <w:bCs w:val="0"/>
          <w:color w:val="auto"/>
          <w:sz w:val="32"/>
          <w:szCs w:val="32"/>
          <w:lang w:val="en-US"/>
        </w:rPr>
        <w:t>按照《高素质农民培育规范》相关要求组织开展</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工作，严格执行“行政主管部门第一课”</w:t>
      </w:r>
      <w:r>
        <w:rPr>
          <w:rFonts w:hint="default" w:ascii="Times New Roman" w:hAnsi="Times New Roman" w:eastAsia="仿宋_GB2312" w:cs="Times New Roman"/>
          <w:b w:val="0"/>
          <w:bCs w:val="0"/>
          <w:color w:val="auto"/>
          <w:sz w:val="32"/>
          <w:szCs w:val="32"/>
          <w:lang w:val="en-US" w:eastAsia="zh-CN"/>
        </w:rPr>
        <w:t>，严格</w:t>
      </w:r>
      <w:r>
        <w:rPr>
          <w:rFonts w:hint="default" w:ascii="Times New Roman" w:hAnsi="Times New Roman" w:eastAsia="仿宋_GB2312" w:cs="Times New Roman"/>
          <w:b w:val="0"/>
          <w:bCs w:val="0"/>
          <w:color w:val="auto"/>
          <w:sz w:val="32"/>
          <w:szCs w:val="32"/>
          <w:lang w:val="en-US"/>
        </w:rPr>
        <w:t>审核开班计划和</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对象</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科学制定教学计划</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合理安排</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课程</w:t>
      </w:r>
      <w:r>
        <w:rPr>
          <w:rFonts w:hint="default" w:ascii="Times New Roman" w:hAnsi="Times New Roman" w:eastAsia="仿宋_GB2312" w:cs="Times New Roman"/>
          <w:b w:val="0"/>
          <w:bCs w:val="0"/>
          <w:color w:val="auto"/>
          <w:sz w:val="32"/>
          <w:szCs w:val="32"/>
          <w:lang w:val="en-US" w:eastAsia="zh-CN"/>
        </w:rPr>
        <w:t>，抓实班级管理、</w:t>
      </w:r>
      <w:r>
        <w:rPr>
          <w:rFonts w:hint="default" w:ascii="Times New Roman" w:hAnsi="Times New Roman" w:eastAsia="仿宋_GB2312" w:cs="Times New Roman"/>
          <w:b w:val="0"/>
          <w:bCs w:val="0"/>
          <w:color w:val="auto"/>
          <w:sz w:val="32"/>
          <w:szCs w:val="32"/>
          <w:lang w:val="en-US"/>
        </w:rPr>
        <w:t>台账</w:t>
      </w:r>
      <w:r>
        <w:rPr>
          <w:rFonts w:hint="default" w:ascii="Times New Roman" w:hAnsi="Times New Roman" w:eastAsia="仿宋_GB2312" w:cs="Times New Roman"/>
          <w:b w:val="0"/>
          <w:bCs w:val="0"/>
          <w:color w:val="auto"/>
          <w:sz w:val="32"/>
          <w:szCs w:val="32"/>
          <w:lang w:val="en-US" w:eastAsia="zh-CN"/>
        </w:rPr>
        <w:t>管理、</w:t>
      </w:r>
      <w:r>
        <w:rPr>
          <w:rFonts w:hint="default" w:ascii="Times New Roman" w:hAnsi="Times New Roman" w:eastAsia="仿宋_GB2312" w:cs="Times New Roman"/>
          <w:b w:val="0"/>
          <w:bCs w:val="0"/>
          <w:color w:val="auto"/>
          <w:sz w:val="32"/>
          <w:szCs w:val="32"/>
          <w:lang w:val="en-US"/>
        </w:rPr>
        <w:t>档案</w:t>
      </w:r>
      <w:r>
        <w:rPr>
          <w:rFonts w:hint="default" w:ascii="Times New Roman" w:hAnsi="Times New Roman" w:eastAsia="仿宋_GB2312" w:cs="Times New Roman"/>
          <w:b w:val="0"/>
          <w:bCs w:val="0"/>
          <w:color w:val="auto"/>
          <w:sz w:val="32"/>
          <w:szCs w:val="32"/>
          <w:lang w:val="en-US" w:eastAsia="zh-CN"/>
        </w:rPr>
        <w:t>管理和</w:t>
      </w:r>
      <w:r>
        <w:rPr>
          <w:rFonts w:hint="default" w:ascii="Times New Roman" w:hAnsi="Times New Roman" w:eastAsia="仿宋_GB2312" w:cs="Times New Roman"/>
          <w:b w:val="0"/>
          <w:bCs w:val="0"/>
          <w:color w:val="auto"/>
          <w:sz w:val="32"/>
          <w:szCs w:val="32"/>
          <w:lang w:val="en-US"/>
        </w:rPr>
        <w:t>安全生产</w:t>
      </w:r>
      <w:r>
        <w:rPr>
          <w:rFonts w:hint="default" w:ascii="Times New Roman" w:hAnsi="Times New Roman" w:eastAsia="仿宋_GB2312" w:cs="Times New Roman"/>
          <w:b w:val="0"/>
          <w:bCs w:val="0"/>
          <w:color w:val="auto"/>
          <w:sz w:val="32"/>
          <w:szCs w:val="32"/>
          <w:lang w:val="en-US" w:eastAsia="zh-CN"/>
        </w:rPr>
        <w:t>管理，及时</w:t>
      </w:r>
      <w:r>
        <w:rPr>
          <w:rFonts w:hint="default" w:ascii="Times New Roman" w:hAnsi="Times New Roman" w:eastAsia="仿宋_GB2312" w:cs="Times New Roman"/>
          <w:b w:val="0"/>
          <w:bCs w:val="0"/>
          <w:color w:val="auto"/>
          <w:sz w:val="32"/>
          <w:szCs w:val="32"/>
          <w:lang w:val="en-US"/>
        </w:rPr>
        <w:t>督导</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进度</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做好延伸服务</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rPr>
        <w:t>确保</w:t>
      </w:r>
      <w:r>
        <w:rPr>
          <w:rFonts w:hint="default" w:ascii="Times New Roman" w:hAnsi="Times New Roman" w:eastAsia="仿宋_GB2312" w:cs="Times New Roman"/>
          <w:b w:val="0"/>
          <w:bCs w:val="0"/>
          <w:color w:val="auto"/>
          <w:sz w:val="32"/>
          <w:szCs w:val="32"/>
          <w:lang w:val="en-US" w:eastAsia="zh-CN"/>
        </w:rPr>
        <w:t>按时保质完成年度培训任务。精准填报</w:t>
      </w:r>
      <w:r>
        <w:rPr>
          <w:rFonts w:hint="default" w:ascii="Times New Roman" w:hAnsi="Times New Roman" w:eastAsia="仿宋_GB2312" w:cs="Times New Roman"/>
          <w:b w:val="0"/>
          <w:bCs w:val="0"/>
          <w:color w:val="auto"/>
          <w:sz w:val="32"/>
          <w:szCs w:val="32"/>
          <w:lang w:val="en-US"/>
        </w:rPr>
        <w:t>农民教育</w:t>
      </w:r>
      <w:r>
        <w:rPr>
          <w:rFonts w:hint="default" w:ascii="Times New Roman" w:hAnsi="Times New Roman" w:eastAsia="仿宋_GB2312" w:cs="Times New Roman"/>
          <w:b w:val="0"/>
          <w:bCs w:val="0"/>
          <w:color w:val="auto"/>
          <w:sz w:val="32"/>
          <w:szCs w:val="32"/>
          <w:lang w:val="en-US" w:eastAsia="zh-CN"/>
        </w:rPr>
        <w:t>培训</w:t>
      </w:r>
      <w:r>
        <w:rPr>
          <w:rFonts w:hint="default" w:ascii="Times New Roman" w:hAnsi="Times New Roman" w:eastAsia="仿宋_GB2312" w:cs="Times New Roman"/>
          <w:b w:val="0"/>
          <w:bCs w:val="0"/>
          <w:color w:val="auto"/>
          <w:sz w:val="32"/>
          <w:szCs w:val="32"/>
          <w:lang w:val="en-US"/>
        </w:rPr>
        <w:t>信息管理系统</w:t>
      </w:r>
      <w:r>
        <w:rPr>
          <w:rFonts w:hint="default" w:ascii="Times New Roman" w:hAnsi="Times New Roman" w:eastAsia="仿宋_GB2312" w:cs="Times New Roman"/>
          <w:b w:val="0"/>
          <w:bCs w:val="0"/>
          <w:color w:val="auto"/>
          <w:sz w:val="32"/>
          <w:szCs w:val="32"/>
          <w:lang w:val="en-US" w:eastAsia="zh-CN"/>
        </w:rPr>
        <w:t>、农业农村部转移支付管理平台和吉林省财政预算一体化系统</w:t>
      </w:r>
      <w:r>
        <w:rPr>
          <w:rFonts w:hint="default" w:ascii="Times New Roman" w:hAnsi="Times New Roman" w:eastAsia="仿宋_GB2312" w:cs="Times New Roman"/>
          <w:b w:val="0"/>
          <w:bCs w:val="0"/>
          <w:color w:val="auto"/>
          <w:sz w:val="32"/>
          <w:szCs w:val="32"/>
          <w:lang w:val="en-US"/>
        </w:rPr>
        <w:t>，于202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rPr>
        <w:t>年12月</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lang w:val="en-US"/>
        </w:rPr>
        <w:t>日前完成全部信息录入工作</w:t>
      </w:r>
      <w:r>
        <w:rPr>
          <w:rFonts w:hint="default" w:ascii="Times New Roman" w:hAnsi="Times New Roman" w:eastAsia="仿宋_GB2312" w:cs="Times New Roman"/>
          <w:b w:val="0"/>
          <w:bCs w:val="0"/>
          <w:color w:val="auto"/>
          <w:sz w:val="32"/>
          <w:szCs w:val="32"/>
          <w:lang w:val="en-US" w:eastAsia="zh-CN"/>
        </w:rPr>
        <w:t>。</w:t>
      </w:r>
    </w:p>
    <w:p w14:paraId="649901EE">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rPr>
        <w:t>（三）</w:t>
      </w:r>
      <w:r>
        <w:rPr>
          <w:rFonts w:hint="default" w:ascii="Times New Roman" w:hAnsi="Times New Roman" w:eastAsia="楷体_GB2312" w:cs="Times New Roman"/>
          <w:b w:val="0"/>
          <w:bCs w:val="0"/>
          <w:color w:val="auto"/>
          <w:sz w:val="32"/>
          <w:szCs w:val="32"/>
          <w:lang w:val="en-US" w:eastAsia="zh-CN"/>
        </w:rPr>
        <w:t>加强评价管理</w:t>
      </w:r>
      <w:r>
        <w:rPr>
          <w:rFonts w:hint="default" w:ascii="Times New Roman" w:hAnsi="Times New Roman" w:eastAsia="楷体_GB2312" w:cs="Times New Roman"/>
          <w:b w:val="0"/>
          <w:bCs w:val="0"/>
          <w:color w:val="auto"/>
          <w:sz w:val="32"/>
          <w:szCs w:val="32"/>
          <w:lang w:val="en-US"/>
        </w:rPr>
        <w:t>。</w:t>
      </w:r>
      <w:r>
        <w:rPr>
          <w:rFonts w:hint="default" w:ascii="Times New Roman" w:hAnsi="Times New Roman" w:eastAsia="仿宋_GB2312" w:cs="Times New Roman"/>
          <w:b w:val="0"/>
          <w:bCs w:val="0"/>
          <w:color w:val="auto"/>
          <w:sz w:val="32"/>
          <w:szCs w:val="32"/>
          <w:lang w:val="en-US"/>
        </w:rPr>
        <w:t>各市县绩效评价结果</w:t>
      </w:r>
      <w:r>
        <w:rPr>
          <w:rFonts w:hint="default" w:ascii="Times New Roman" w:hAnsi="Times New Roman" w:eastAsia="仿宋_GB2312" w:cs="Times New Roman"/>
          <w:b w:val="0"/>
          <w:bCs w:val="0"/>
          <w:color w:val="auto"/>
          <w:sz w:val="32"/>
          <w:szCs w:val="32"/>
          <w:lang w:val="en-US" w:eastAsia="zh-CN"/>
        </w:rPr>
        <w:t>作为项目资金分配的重要因素。</w:t>
      </w:r>
      <w:r>
        <w:rPr>
          <w:rFonts w:hint="default" w:ascii="Times New Roman" w:hAnsi="Times New Roman" w:eastAsia="仿宋_GB2312" w:cs="Times New Roman"/>
          <w:b w:val="0"/>
          <w:bCs w:val="0"/>
          <w:color w:val="auto"/>
          <w:sz w:val="32"/>
          <w:szCs w:val="32"/>
          <w:lang w:val="en-US"/>
        </w:rPr>
        <w:t>对绩效评价等次为“优”的市县</w:t>
      </w:r>
      <w:r>
        <w:rPr>
          <w:rFonts w:hint="default" w:ascii="Times New Roman" w:hAnsi="Times New Roman" w:eastAsia="仿宋_GB2312" w:cs="Times New Roman"/>
          <w:b w:val="0"/>
          <w:bCs w:val="0"/>
          <w:color w:val="auto"/>
          <w:sz w:val="32"/>
          <w:szCs w:val="32"/>
          <w:lang w:val="en-US" w:eastAsia="zh-CN"/>
        </w:rPr>
        <w:t>，下一年度专项资金分配时给予倾斜；</w:t>
      </w:r>
      <w:r>
        <w:rPr>
          <w:rFonts w:hint="default" w:ascii="Times New Roman" w:hAnsi="Times New Roman" w:eastAsia="仿宋_GB2312" w:cs="Times New Roman"/>
          <w:b w:val="0"/>
          <w:bCs w:val="0"/>
          <w:color w:val="auto"/>
          <w:sz w:val="32"/>
          <w:szCs w:val="32"/>
          <w:lang w:val="en-US"/>
        </w:rPr>
        <w:t>对</w:t>
      </w:r>
      <w:r>
        <w:rPr>
          <w:rFonts w:hint="default" w:ascii="Times New Roman" w:hAnsi="Times New Roman" w:eastAsia="仿宋_GB2312" w:cs="Times New Roman"/>
          <w:b w:val="0"/>
          <w:bCs w:val="0"/>
          <w:color w:val="auto"/>
          <w:sz w:val="32"/>
          <w:szCs w:val="32"/>
          <w:lang w:val="en-US" w:eastAsia="zh-CN"/>
        </w:rPr>
        <w:t>绩效</w:t>
      </w:r>
      <w:r>
        <w:rPr>
          <w:rFonts w:hint="default" w:ascii="Times New Roman" w:hAnsi="Times New Roman" w:eastAsia="仿宋_GB2312" w:cs="Times New Roman"/>
          <w:b w:val="0"/>
          <w:bCs w:val="0"/>
          <w:color w:val="auto"/>
          <w:sz w:val="32"/>
          <w:szCs w:val="32"/>
          <w:lang w:val="en-US"/>
        </w:rPr>
        <w:t>评价等次为“</w:t>
      </w:r>
      <w:r>
        <w:rPr>
          <w:rFonts w:hint="default" w:ascii="Times New Roman" w:hAnsi="Times New Roman" w:eastAsia="仿宋_GB2312" w:cs="Times New Roman"/>
          <w:b w:val="0"/>
          <w:bCs w:val="0"/>
          <w:color w:val="auto"/>
          <w:sz w:val="32"/>
          <w:szCs w:val="32"/>
          <w:lang w:val="en-US" w:eastAsia="zh-CN"/>
        </w:rPr>
        <w:t>不合格</w:t>
      </w:r>
      <w:r>
        <w:rPr>
          <w:rFonts w:hint="default" w:ascii="Times New Roman" w:hAnsi="Times New Roman" w:eastAsia="仿宋_GB2312" w:cs="Times New Roman"/>
          <w:b w:val="0"/>
          <w:bCs w:val="0"/>
          <w:color w:val="auto"/>
          <w:sz w:val="32"/>
          <w:szCs w:val="32"/>
          <w:lang w:val="en-US"/>
        </w:rPr>
        <w:t>”</w:t>
      </w:r>
      <w:r>
        <w:rPr>
          <w:rFonts w:hint="default" w:ascii="Times New Roman" w:hAnsi="Times New Roman" w:eastAsia="仿宋_GB2312" w:cs="Times New Roman"/>
          <w:b w:val="0"/>
          <w:bCs w:val="0"/>
          <w:color w:val="auto"/>
          <w:sz w:val="32"/>
          <w:szCs w:val="32"/>
          <w:lang w:val="en-US" w:eastAsia="zh-CN"/>
        </w:rPr>
        <w:t>，影响全省培训质效的市县，次年资金暂停安排。</w:t>
      </w:r>
    </w:p>
    <w:p w14:paraId="44355846">
      <w:pPr>
        <w:pStyle w:val="14"/>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lang w:val="en-US"/>
        </w:rPr>
        <w:t>请各地于202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rPr>
        <w:t>年</w:t>
      </w:r>
      <w:r>
        <w:rPr>
          <w:rFonts w:hint="default"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rPr>
        <w:t>月</w:t>
      </w:r>
      <w:r>
        <w:rPr>
          <w:rFonts w:hint="eastAsia" w:eastAsia="仿宋_GB2312" w:cs="Times New Roman"/>
          <w:b w:val="0"/>
          <w:bCs w:val="0"/>
          <w:color w:val="auto"/>
          <w:sz w:val="32"/>
          <w:szCs w:val="32"/>
          <w:lang w:val="en-US" w:eastAsia="zh-CN"/>
        </w:rPr>
        <w:t>21</w:t>
      </w:r>
      <w:bookmarkStart w:id="0" w:name="_GoBack"/>
      <w:bookmarkEnd w:id="0"/>
      <w:r>
        <w:rPr>
          <w:rFonts w:hint="default" w:ascii="Times New Roman" w:hAnsi="Times New Roman" w:eastAsia="仿宋_GB2312" w:cs="Times New Roman"/>
          <w:b w:val="0"/>
          <w:bCs w:val="0"/>
          <w:color w:val="auto"/>
          <w:sz w:val="32"/>
          <w:szCs w:val="32"/>
          <w:lang w:val="en-US"/>
        </w:rPr>
        <w:t>日前将年度</w:t>
      </w:r>
      <w:r>
        <w:rPr>
          <w:rFonts w:hint="default" w:ascii="Times New Roman" w:hAnsi="Times New Roman" w:eastAsia="仿宋_GB2312" w:cs="Times New Roman"/>
          <w:b w:val="0"/>
          <w:bCs w:val="0"/>
          <w:color w:val="auto"/>
          <w:sz w:val="32"/>
          <w:szCs w:val="32"/>
          <w:lang w:val="en-US" w:eastAsia="zh-CN"/>
        </w:rPr>
        <w:t>实施</w:t>
      </w:r>
      <w:r>
        <w:rPr>
          <w:rFonts w:hint="default" w:ascii="Times New Roman" w:hAnsi="Times New Roman" w:eastAsia="仿宋_GB2312" w:cs="Times New Roman"/>
          <w:b w:val="0"/>
          <w:bCs w:val="0"/>
          <w:color w:val="auto"/>
          <w:sz w:val="32"/>
          <w:szCs w:val="32"/>
          <w:lang w:val="en-US"/>
        </w:rPr>
        <w:t>方案、202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rPr>
        <w:t>年12月</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lang w:val="en-US"/>
        </w:rPr>
        <w:t>日前将年度工作总结报送</w:t>
      </w:r>
      <w:r>
        <w:rPr>
          <w:rFonts w:hint="default" w:ascii="Times New Roman" w:hAnsi="Times New Roman" w:eastAsia="仿宋_GB2312" w:cs="Times New Roman"/>
          <w:b w:val="0"/>
          <w:bCs w:val="0"/>
          <w:color w:val="auto"/>
          <w:sz w:val="32"/>
          <w:szCs w:val="32"/>
          <w:lang w:val="en-US" w:eastAsia="zh-CN"/>
        </w:rPr>
        <w:t>至省</w:t>
      </w:r>
      <w:r>
        <w:rPr>
          <w:rFonts w:hint="default" w:ascii="Times New Roman" w:hAnsi="Times New Roman" w:eastAsia="仿宋_GB2312" w:cs="Times New Roman"/>
          <w:b w:val="0"/>
          <w:bCs w:val="0"/>
          <w:color w:val="auto"/>
          <w:sz w:val="32"/>
          <w:szCs w:val="32"/>
          <w:lang w:val="en-US"/>
        </w:rPr>
        <w:t>农业农村厅。</w:t>
      </w:r>
    </w:p>
    <w:p w14:paraId="4F2A98A0">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lang w:val="en-US" w:eastAsia="zh-CN"/>
        </w:rPr>
      </w:pPr>
    </w:p>
    <w:p w14:paraId="52605E44">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联系人：苏新智</w:t>
      </w:r>
    </w:p>
    <w:p w14:paraId="1A4EC504">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rPr>
        <w:t>联系电话：</w:t>
      </w:r>
      <w:r>
        <w:rPr>
          <w:rFonts w:hint="default" w:ascii="Times New Roman" w:hAnsi="Times New Roman" w:eastAsia="仿宋_GB2312" w:cs="Times New Roman"/>
          <w:b w:val="0"/>
          <w:bCs w:val="0"/>
          <w:color w:val="auto"/>
          <w:sz w:val="32"/>
          <w:szCs w:val="32"/>
          <w:lang w:val="en-US" w:eastAsia="zh-CN"/>
        </w:rPr>
        <w:t>0431—87982589</w:t>
      </w:r>
    </w:p>
    <w:p w14:paraId="046677E1">
      <w:pPr>
        <w:pStyle w:val="1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u w:val="none"/>
          <w:lang w:val="en-US"/>
        </w:rPr>
      </w:pPr>
      <w:r>
        <w:rPr>
          <w:rFonts w:hint="default" w:ascii="Times New Roman" w:hAnsi="Times New Roman" w:eastAsia="仿宋_GB2312" w:cs="Times New Roman"/>
          <w:b w:val="0"/>
          <w:bCs w:val="0"/>
          <w:color w:val="auto"/>
          <w:sz w:val="32"/>
          <w:szCs w:val="32"/>
          <w:lang w:val="en-US"/>
        </w:rPr>
        <w:t>电子邮箱：</w:t>
      </w:r>
      <w:r>
        <w:rPr>
          <w:rFonts w:hint="default" w:ascii="Times New Roman" w:hAnsi="Times New Roman" w:eastAsia="仿宋_GB2312" w:cs="Times New Roman"/>
          <w:b w:val="0"/>
          <w:bCs w:val="0"/>
          <w:color w:val="auto"/>
          <w:sz w:val="32"/>
          <w:szCs w:val="32"/>
          <w:u w:val="none"/>
          <w:lang w:val="en-US"/>
        </w:rPr>
        <w:fldChar w:fldCharType="begin"/>
      </w:r>
      <w:r>
        <w:rPr>
          <w:rFonts w:hint="default" w:ascii="Times New Roman" w:hAnsi="Times New Roman" w:eastAsia="仿宋_GB2312" w:cs="Times New Roman"/>
          <w:b w:val="0"/>
          <w:bCs w:val="0"/>
          <w:color w:val="auto"/>
          <w:sz w:val="32"/>
          <w:szCs w:val="32"/>
          <w:u w:val="none"/>
          <w:lang w:val="en-US"/>
        </w:rPr>
        <w:instrText xml:space="preserve"> HYPERLINK "mailto:jlsygbgl@163.com" </w:instrText>
      </w:r>
      <w:r>
        <w:rPr>
          <w:rFonts w:hint="default" w:ascii="Times New Roman" w:hAnsi="Times New Roman" w:eastAsia="仿宋_GB2312" w:cs="Times New Roman"/>
          <w:b w:val="0"/>
          <w:bCs w:val="0"/>
          <w:color w:val="auto"/>
          <w:sz w:val="32"/>
          <w:szCs w:val="32"/>
          <w:u w:val="none"/>
          <w:lang w:val="en-US"/>
        </w:rPr>
        <w:fldChar w:fldCharType="separate"/>
      </w:r>
      <w:r>
        <w:rPr>
          <w:rStyle w:val="13"/>
          <w:rFonts w:hint="default" w:ascii="Times New Roman" w:hAnsi="Times New Roman" w:eastAsia="仿宋_GB2312" w:cs="Times New Roman"/>
          <w:b w:val="0"/>
          <w:bCs w:val="0"/>
          <w:color w:val="auto"/>
          <w:sz w:val="32"/>
          <w:szCs w:val="32"/>
          <w:u w:val="none"/>
          <w:lang w:val="en-US"/>
        </w:rPr>
        <w:t>jlsygbgl@163.com</w:t>
      </w:r>
      <w:r>
        <w:rPr>
          <w:rFonts w:hint="default" w:ascii="Times New Roman" w:hAnsi="Times New Roman" w:eastAsia="仿宋_GB2312" w:cs="Times New Roman"/>
          <w:b w:val="0"/>
          <w:bCs w:val="0"/>
          <w:color w:val="auto"/>
          <w:sz w:val="32"/>
          <w:szCs w:val="32"/>
          <w:u w:val="none"/>
          <w:lang w:val="en-US"/>
        </w:rPr>
        <w:fldChar w:fldCharType="end"/>
      </w:r>
    </w:p>
    <w:p w14:paraId="1FB8E75E">
      <w:pPr>
        <w:pStyle w:val="14"/>
        <w:keepNext w:val="0"/>
        <w:keepLines w:val="0"/>
        <w:pageBreakBefore w:val="0"/>
        <w:kinsoku/>
        <w:wordWrap/>
        <w:overflowPunct/>
        <w:topLinePunct w:val="0"/>
        <w:autoSpaceDE/>
        <w:autoSpaceDN/>
        <w:bidi w:val="0"/>
        <w:adjustRightInd/>
        <w:snapToGrid/>
        <w:spacing w:line="580" w:lineRule="exact"/>
        <w:ind w:left="0" w:leftChars="0" w:firstLine="632" w:firstLineChars="200"/>
        <w:rPr>
          <w:rFonts w:hint="default" w:ascii="Times New Roman" w:hAnsi="Times New Roman" w:eastAsia="仿宋_GB2312" w:cs="Times New Roman"/>
          <w:b w:val="0"/>
          <w:bCs w:val="0"/>
          <w:color w:val="auto"/>
          <w:sz w:val="32"/>
          <w:szCs w:val="32"/>
          <w:lang w:val="en-US"/>
        </w:rPr>
      </w:pPr>
    </w:p>
    <w:p w14:paraId="075373A7">
      <w:pPr>
        <w:pStyle w:val="14"/>
        <w:keepNext w:val="0"/>
        <w:keepLines w:val="0"/>
        <w:pageBreakBefore w:val="0"/>
        <w:kinsoku/>
        <w:wordWrap/>
        <w:overflowPunct/>
        <w:topLinePunct w:val="0"/>
        <w:autoSpaceDE/>
        <w:autoSpaceDN/>
        <w:bidi w:val="0"/>
        <w:adjustRightInd/>
        <w:snapToGrid/>
        <w:spacing w:line="580" w:lineRule="exact"/>
        <w:ind w:left="0" w:leftChars="0" w:firstLine="632" w:firstLineChars="200"/>
        <w:rPr>
          <w:rFonts w:hint="default" w:ascii="Times New Roman" w:hAnsi="Times New Roman" w:eastAsia="仿宋_GB2312" w:cs="Times New Roman"/>
          <w:b w:val="0"/>
          <w:bCs w:val="0"/>
          <w:color w:val="auto"/>
          <w:sz w:val="32"/>
          <w:szCs w:val="32"/>
          <w:lang w:val="en-US" w:eastAsia="zh-CN"/>
        </w:rPr>
        <w:sectPr>
          <w:footerReference r:id="rId3" w:type="default"/>
          <w:pgSz w:w="11906" w:h="16838"/>
          <w:pgMar w:top="2098" w:right="1474" w:bottom="1984" w:left="1588" w:header="851" w:footer="1400" w:gutter="0"/>
          <w:pgNumType w:fmt="decimal"/>
          <w:cols w:space="425" w:num="1"/>
          <w:docGrid w:type="linesAndChars" w:linePitch="579" w:charSpace="-849"/>
        </w:sectPr>
      </w:pPr>
      <w:r>
        <w:rPr>
          <w:rFonts w:hint="default" w:ascii="Times New Roman" w:hAnsi="Times New Roman" w:eastAsia="仿宋_GB2312" w:cs="Times New Roman"/>
          <w:b w:val="0"/>
          <w:bCs w:val="0"/>
          <w:color w:val="auto"/>
          <w:sz w:val="32"/>
          <w:szCs w:val="32"/>
          <w:lang w:val="en-US"/>
        </w:rPr>
        <w:t>附件：202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rPr>
        <w:t>年吉林省高素质农民培育项目任务分解</w:t>
      </w:r>
      <w:r>
        <w:rPr>
          <w:rFonts w:hint="default" w:ascii="Times New Roman" w:hAnsi="Times New Roman" w:eastAsia="仿宋_GB2312" w:cs="Times New Roman"/>
          <w:b w:val="0"/>
          <w:bCs w:val="0"/>
          <w:color w:val="auto"/>
          <w:sz w:val="32"/>
          <w:szCs w:val="32"/>
          <w:lang w:val="en-US" w:eastAsia="zh-CN"/>
        </w:rPr>
        <w:t>表</w:t>
      </w:r>
    </w:p>
    <w:p w14:paraId="5E9F08B2">
      <w:pPr>
        <w:pStyle w:val="14"/>
        <w:keepNext w:val="0"/>
        <w:keepLines w:val="0"/>
        <w:pageBreakBefore w:val="0"/>
        <w:kinsoku/>
        <w:wordWrap/>
        <w:overflowPunct/>
        <w:topLinePunct w:val="0"/>
        <w:autoSpaceDE/>
        <w:bidi w:val="0"/>
        <w:adjustRightInd/>
        <w:snapToGrid/>
        <w:spacing w:line="600" w:lineRule="exact"/>
        <w:ind w:left="0" w:leftChars="0" w:firstLine="0" w:firstLineChars="0"/>
        <w:jc w:val="lef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p>
    <w:p w14:paraId="6D373E79">
      <w:pPr>
        <w:pStyle w:val="14"/>
        <w:keepNext w:val="0"/>
        <w:keepLines w:val="0"/>
        <w:pageBreakBefore w:val="0"/>
        <w:kinsoku/>
        <w:wordWrap/>
        <w:overflowPunct/>
        <w:topLinePunct w:val="0"/>
        <w:autoSpaceDE/>
        <w:bidi w:val="0"/>
        <w:adjustRightInd/>
        <w:snapToGrid/>
        <w:spacing w:line="600" w:lineRule="exact"/>
        <w:ind w:left="0" w:leftChars="0" w:firstLine="0" w:firstLineChars="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rPr>
        <w:t>202</w:t>
      </w:r>
      <w:r>
        <w:rPr>
          <w:rFonts w:hint="default" w:ascii="Times New Roman" w:hAnsi="Times New Roman" w:eastAsia="方正小标宋简体" w:cs="Times New Roman"/>
          <w:b w:val="0"/>
          <w:bCs w:val="0"/>
          <w:color w:val="auto"/>
          <w:sz w:val="44"/>
          <w:szCs w:val="44"/>
          <w:lang w:val="en-US" w:eastAsia="zh-CN"/>
        </w:rPr>
        <w:t>5</w:t>
      </w:r>
      <w:r>
        <w:rPr>
          <w:rFonts w:hint="default" w:ascii="Times New Roman" w:hAnsi="Times New Roman" w:eastAsia="方正小标宋简体" w:cs="Times New Roman"/>
          <w:b w:val="0"/>
          <w:bCs w:val="0"/>
          <w:color w:val="auto"/>
          <w:sz w:val="44"/>
          <w:szCs w:val="44"/>
          <w:lang w:val="en-US"/>
        </w:rPr>
        <w:t>年吉林省高素质农民培育项目任务分解</w:t>
      </w:r>
      <w:r>
        <w:rPr>
          <w:rFonts w:hint="default" w:ascii="Times New Roman" w:hAnsi="Times New Roman" w:eastAsia="方正小标宋简体" w:cs="Times New Roman"/>
          <w:b w:val="0"/>
          <w:bCs w:val="0"/>
          <w:color w:val="auto"/>
          <w:sz w:val="44"/>
          <w:szCs w:val="44"/>
          <w:lang w:val="en-US" w:eastAsia="zh-CN"/>
        </w:rPr>
        <w:t>表</w:t>
      </w:r>
    </w:p>
    <w:p w14:paraId="18E5ADFF">
      <w:pPr>
        <w:pStyle w:val="14"/>
        <w:keepNext w:val="0"/>
        <w:keepLines w:val="0"/>
        <w:pageBreakBefore w:val="0"/>
        <w:kinsoku/>
        <w:wordWrap/>
        <w:overflowPunct/>
        <w:topLinePunct w:val="0"/>
        <w:autoSpaceDE/>
        <w:bidi w:val="0"/>
        <w:adjustRightInd/>
        <w:snapToGrid/>
        <w:spacing w:line="600" w:lineRule="exact"/>
        <w:ind w:left="0" w:leftChars="0" w:firstLine="0" w:firstLineChars="0"/>
        <w:jc w:val="righ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单位：人</w:t>
      </w:r>
    </w:p>
    <w:tbl>
      <w:tblPr>
        <w:tblStyle w:val="1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93"/>
        <w:gridCol w:w="1247"/>
        <w:gridCol w:w="1500"/>
        <w:gridCol w:w="1785"/>
        <w:gridCol w:w="1590"/>
        <w:gridCol w:w="1108"/>
      </w:tblGrid>
      <w:tr w14:paraId="309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tblHeader/>
          <w:jc w:val="center"/>
        </w:trPr>
        <w:tc>
          <w:tcPr>
            <w:tcW w:w="872" w:type="dxa"/>
            <w:vAlign w:val="center"/>
          </w:tcPr>
          <w:p w14:paraId="17836F60">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序号</w:t>
            </w:r>
          </w:p>
        </w:tc>
        <w:tc>
          <w:tcPr>
            <w:tcW w:w="1693" w:type="dxa"/>
            <w:vAlign w:val="center"/>
          </w:tcPr>
          <w:p w14:paraId="3BE59613">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地区</w:t>
            </w:r>
          </w:p>
        </w:tc>
        <w:tc>
          <w:tcPr>
            <w:tcW w:w="1247" w:type="dxa"/>
            <w:vAlign w:val="center"/>
          </w:tcPr>
          <w:p w14:paraId="653CE1F7">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常规培育人数</w:t>
            </w:r>
          </w:p>
        </w:tc>
        <w:tc>
          <w:tcPr>
            <w:tcW w:w="1500" w:type="dxa"/>
            <w:vAlign w:val="center"/>
          </w:tcPr>
          <w:p w14:paraId="2F79D5C1">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农机手技能提升培训专题班人数</w:t>
            </w:r>
          </w:p>
        </w:tc>
        <w:tc>
          <w:tcPr>
            <w:tcW w:w="1785" w:type="dxa"/>
            <w:vAlign w:val="center"/>
          </w:tcPr>
          <w:p w14:paraId="4C7EA1FC">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新型经营主体数字化技能应用能力提升培训专题班人数</w:t>
            </w:r>
          </w:p>
        </w:tc>
        <w:tc>
          <w:tcPr>
            <w:tcW w:w="1590" w:type="dxa"/>
            <w:vAlign w:val="center"/>
          </w:tcPr>
          <w:p w14:paraId="37A20148">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乡土文化能人培训专题班人数</w:t>
            </w:r>
          </w:p>
        </w:tc>
        <w:tc>
          <w:tcPr>
            <w:tcW w:w="1108" w:type="dxa"/>
            <w:vAlign w:val="center"/>
          </w:tcPr>
          <w:p w14:paraId="117FCAAA">
            <w:pPr>
              <w:keepNext w:val="0"/>
              <w:keepLines w:val="0"/>
              <w:pageBreakBefore w:val="0"/>
              <w:widowControl/>
              <w:suppressLineNumbers w:val="0"/>
              <w:kinsoku/>
              <w:wordWrap/>
              <w:overflowPunct/>
              <w:topLinePunct w:val="0"/>
              <w:autoSpaceDE/>
              <w:autoSpaceDN/>
              <w:bidi w:val="0"/>
              <w:adjustRightInd/>
              <w:snapToGrid w:val="0"/>
              <w:jc w:val="center"/>
              <w:textAlignment w:val="top"/>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总人数</w:t>
            </w:r>
          </w:p>
        </w:tc>
      </w:tr>
      <w:tr w14:paraId="5762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1C190B0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1693" w:type="dxa"/>
            <w:vAlign w:val="center"/>
          </w:tcPr>
          <w:p w14:paraId="1805CAC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省本级</w:t>
            </w:r>
          </w:p>
        </w:tc>
        <w:tc>
          <w:tcPr>
            <w:tcW w:w="1247" w:type="dxa"/>
            <w:vAlign w:val="center"/>
          </w:tcPr>
          <w:p w14:paraId="2218D48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00" w:type="dxa"/>
            <w:vAlign w:val="center"/>
          </w:tcPr>
          <w:p w14:paraId="726974C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088990A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590" w:type="dxa"/>
            <w:vAlign w:val="center"/>
          </w:tcPr>
          <w:p w14:paraId="7B39A0A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80</w:t>
            </w:r>
          </w:p>
        </w:tc>
        <w:tc>
          <w:tcPr>
            <w:tcW w:w="1108" w:type="dxa"/>
            <w:vAlign w:val="center"/>
          </w:tcPr>
          <w:p w14:paraId="532AE57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130</w:t>
            </w:r>
          </w:p>
        </w:tc>
      </w:tr>
      <w:tr w14:paraId="42E4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5C36E03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1693" w:type="dxa"/>
            <w:vAlign w:val="center"/>
          </w:tcPr>
          <w:p w14:paraId="73E532B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长春市本级</w:t>
            </w:r>
          </w:p>
        </w:tc>
        <w:tc>
          <w:tcPr>
            <w:tcW w:w="1247" w:type="dxa"/>
            <w:vAlign w:val="center"/>
          </w:tcPr>
          <w:p w14:paraId="61484A8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127</w:t>
            </w:r>
          </w:p>
        </w:tc>
        <w:tc>
          <w:tcPr>
            <w:tcW w:w="1500" w:type="dxa"/>
            <w:vAlign w:val="center"/>
          </w:tcPr>
          <w:p w14:paraId="1DFBEA5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764AD43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590" w:type="dxa"/>
            <w:vAlign w:val="center"/>
          </w:tcPr>
          <w:p w14:paraId="5EDE605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55</w:t>
            </w:r>
          </w:p>
        </w:tc>
        <w:tc>
          <w:tcPr>
            <w:tcW w:w="1108" w:type="dxa"/>
            <w:vAlign w:val="center"/>
          </w:tcPr>
          <w:p w14:paraId="0E57236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282</w:t>
            </w:r>
          </w:p>
        </w:tc>
      </w:tr>
      <w:tr w14:paraId="45C9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B6B3C2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w:t>
            </w:r>
          </w:p>
        </w:tc>
        <w:tc>
          <w:tcPr>
            <w:tcW w:w="1693" w:type="dxa"/>
            <w:vAlign w:val="center"/>
          </w:tcPr>
          <w:p w14:paraId="57F988D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双阳区</w:t>
            </w:r>
          </w:p>
        </w:tc>
        <w:tc>
          <w:tcPr>
            <w:tcW w:w="1247" w:type="dxa"/>
            <w:vAlign w:val="center"/>
          </w:tcPr>
          <w:p w14:paraId="38D1BE1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249</w:t>
            </w:r>
          </w:p>
        </w:tc>
        <w:tc>
          <w:tcPr>
            <w:tcW w:w="1500" w:type="dxa"/>
            <w:vAlign w:val="center"/>
          </w:tcPr>
          <w:p w14:paraId="69DEC43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09C2D87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B0E7AE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BD6787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249</w:t>
            </w:r>
          </w:p>
        </w:tc>
      </w:tr>
      <w:tr w14:paraId="2D69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DA4CA9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w:t>
            </w:r>
          </w:p>
        </w:tc>
        <w:tc>
          <w:tcPr>
            <w:tcW w:w="1693" w:type="dxa"/>
            <w:vAlign w:val="center"/>
          </w:tcPr>
          <w:p w14:paraId="70D6BDF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榆树市</w:t>
            </w:r>
          </w:p>
        </w:tc>
        <w:tc>
          <w:tcPr>
            <w:tcW w:w="1247" w:type="dxa"/>
            <w:vAlign w:val="center"/>
          </w:tcPr>
          <w:p w14:paraId="39790B9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1046</w:t>
            </w:r>
          </w:p>
        </w:tc>
        <w:tc>
          <w:tcPr>
            <w:tcW w:w="1500" w:type="dxa"/>
            <w:vAlign w:val="center"/>
          </w:tcPr>
          <w:p w14:paraId="6BFD5E5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250</w:t>
            </w:r>
          </w:p>
        </w:tc>
        <w:tc>
          <w:tcPr>
            <w:tcW w:w="1785" w:type="dxa"/>
            <w:vAlign w:val="center"/>
          </w:tcPr>
          <w:p w14:paraId="520F251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590" w:type="dxa"/>
            <w:vAlign w:val="center"/>
          </w:tcPr>
          <w:p w14:paraId="3FDFD78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64A211C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1396</w:t>
            </w:r>
          </w:p>
        </w:tc>
      </w:tr>
      <w:tr w14:paraId="212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2E9669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w:t>
            </w:r>
          </w:p>
        </w:tc>
        <w:tc>
          <w:tcPr>
            <w:tcW w:w="1693" w:type="dxa"/>
            <w:vAlign w:val="center"/>
          </w:tcPr>
          <w:p w14:paraId="1EE908C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德惠市</w:t>
            </w:r>
          </w:p>
        </w:tc>
        <w:tc>
          <w:tcPr>
            <w:tcW w:w="1247" w:type="dxa"/>
            <w:vAlign w:val="center"/>
          </w:tcPr>
          <w:p w14:paraId="6841165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784</w:t>
            </w:r>
          </w:p>
        </w:tc>
        <w:tc>
          <w:tcPr>
            <w:tcW w:w="1500" w:type="dxa"/>
            <w:vAlign w:val="center"/>
          </w:tcPr>
          <w:p w14:paraId="15DCB7F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448C47A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4110D62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0E258B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834</w:t>
            </w:r>
          </w:p>
        </w:tc>
      </w:tr>
      <w:tr w14:paraId="0EF9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71988D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w:t>
            </w:r>
          </w:p>
        </w:tc>
        <w:tc>
          <w:tcPr>
            <w:tcW w:w="1693" w:type="dxa"/>
            <w:vAlign w:val="center"/>
          </w:tcPr>
          <w:p w14:paraId="0B16340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农安县</w:t>
            </w:r>
          </w:p>
        </w:tc>
        <w:tc>
          <w:tcPr>
            <w:tcW w:w="1247" w:type="dxa"/>
            <w:vAlign w:val="center"/>
          </w:tcPr>
          <w:p w14:paraId="15FB3C3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1142</w:t>
            </w:r>
          </w:p>
        </w:tc>
        <w:tc>
          <w:tcPr>
            <w:tcW w:w="1500" w:type="dxa"/>
            <w:vAlign w:val="center"/>
          </w:tcPr>
          <w:p w14:paraId="4303CA8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265</w:t>
            </w:r>
          </w:p>
        </w:tc>
        <w:tc>
          <w:tcPr>
            <w:tcW w:w="1785" w:type="dxa"/>
            <w:vAlign w:val="center"/>
          </w:tcPr>
          <w:p w14:paraId="57B5D8E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AEE2C0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17404D4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1407</w:t>
            </w:r>
          </w:p>
        </w:tc>
      </w:tr>
      <w:tr w14:paraId="4A0F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646DC8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w:t>
            </w:r>
          </w:p>
        </w:tc>
        <w:tc>
          <w:tcPr>
            <w:tcW w:w="1693" w:type="dxa"/>
            <w:vAlign w:val="center"/>
          </w:tcPr>
          <w:p w14:paraId="504ABF0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公主岭市</w:t>
            </w:r>
          </w:p>
        </w:tc>
        <w:tc>
          <w:tcPr>
            <w:tcW w:w="1247" w:type="dxa"/>
            <w:vAlign w:val="center"/>
          </w:tcPr>
          <w:p w14:paraId="1C7B2DA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934</w:t>
            </w:r>
          </w:p>
        </w:tc>
        <w:tc>
          <w:tcPr>
            <w:tcW w:w="1500" w:type="dxa"/>
            <w:vAlign w:val="center"/>
          </w:tcPr>
          <w:p w14:paraId="1069A62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69EFC91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2A2950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0EB82D8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934</w:t>
            </w:r>
          </w:p>
        </w:tc>
      </w:tr>
      <w:tr w14:paraId="5075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17149C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w:t>
            </w:r>
          </w:p>
        </w:tc>
        <w:tc>
          <w:tcPr>
            <w:tcW w:w="1693" w:type="dxa"/>
            <w:vAlign w:val="center"/>
          </w:tcPr>
          <w:p w14:paraId="0FF115A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吉林市本级</w:t>
            </w:r>
          </w:p>
        </w:tc>
        <w:tc>
          <w:tcPr>
            <w:tcW w:w="1247" w:type="dxa"/>
            <w:vAlign w:val="center"/>
          </w:tcPr>
          <w:p w14:paraId="310ED2E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249</w:t>
            </w:r>
          </w:p>
        </w:tc>
        <w:tc>
          <w:tcPr>
            <w:tcW w:w="1500" w:type="dxa"/>
            <w:vAlign w:val="center"/>
          </w:tcPr>
          <w:p w14:paraId="6F97187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99B346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39A32B3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108" w:type="dxa"/>
            <w:vAlign w:val="center"/>
          </w:tcPr>
          <w:p w14:paraId="67F4F5E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299</w:t>
            </w:r>
          </w:p>
        </w:tc>
      </w:tr>
      <w:tr w14:paraId="447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3D0C80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w:t>
            </w:r>
          </w:p>
        </w:tc>
        <w:tc>
          <w:tcPr>
            <w:tcW w:w="1693" w:type="dxa"/>
            <w:vAlign w:val="center"/>
          </w:tcPr>
          <w:p w14:paraId="1626869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永吉县</w:t>
            </w:r>
          </w:p>
        </w:tc>
        <w:tc>
          <w:tcPr>
            <w:tcW w:w="1247" w:type="dxa"/>
            <w:vAlign w:val="center"/>
          </w:tcPr>
          <w:p w14:paraId="2B18A2D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137</w:t>
            </w:r>
          </w:p>
        </w:tc>
        <w:tc>
          <w:tcPr>
            <w:tcW w:w="1500" w:type="dxa"/>
            <w:vAlign w:val="center"/>
          </w:tcPr>
          <w:p w14:paraId="04D7D0A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40</w:t>
            </w:r>
          </w:p>
        </w:tc>
        <w:tc>
          <w:tcPr>
            <w:tcW w:w="1785" w:type="dxa"/>
            <w:vAlign w:val="center"/>
          </w:tcPr>
          <w:p w14:paraId="15FC420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190185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137189E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177</w:t>
            </w:r>
          </w:p>
        </w:tc>
      </w:tr>
      <w:tr w14:paraId="1E3A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C289A5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w:t>
            </w:r>
          </w:p>
        </w:tc>
        <w:tc>
          <w:tcPr>
            <w:tcW w:w="1693" w:type="dxa"/>
            <w:vAlign w:val="center"/>
          </w:tcPr>
          <w:p w14:paraId="43D5480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蛟河市</w:t>
            </w:r>
          </w:p>
        </w:tc>
        <w:tc>
          <w:tcPr>
            <w:tcW w:w="1247" w:type="dxa"/>
            <w:vAlign w:val="center"/>
          </w:tcPr>
          <w:p w14:paraId="0154C17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193</w:t>
            </w:r>
          </w:p>
        </w:tc>
        <w:tc>
          <w:tcPr>
            <w:tcW w:w="1500" w:type="dxa"/>
            <w:vAlign w:val="center"/>
          </w:tcPr>
          <w:p w14:paraId="16CB28C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5E6CE6B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082785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05EDB4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193</w:t>
            </w:r>
          </w:p>
        </w:tc>
      </w:tr>
      <w:tr w14:paraId="57EC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AE0941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11</w:t>
            </w:r>
          </w:p>
        </w:tc>
        <w:tc>
          <w:tcPr>
            <w:tcW w:w="1693" w:type="dxa"/>
            <w:vAlign w:val="center"/>
          </w:tcPr>
          <w:p w14:paraId="40B8C0F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舒兰市</w:t>
            </w:r>
          </w:p>
        </w:tc>
        <w:tc>
          <w:tcPr>
            <w:tcW w:w="1247" w:type="dxa"/>
            <w:vAlign w:val="center"/>
          </w:tcPr>
          <w:p w14:paraId="676AB19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467</w:t>
            </w:r>
          </w:p>
        </w:tc>
        <w:tc>
          <w:tcPr>
            <w:tcW w:w="1500" w:type="dxa"/>
            <w:vAlign w:val="center"/>
          </w:tcPr>
          <w:p w14:paraId="1DD2CA5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80</w:t>
            </w:r>
          </w:p>
        </w:tc>
        <w:tc>
          <w:tcPr>
            <w:tcW w:w="1785" w:type="dxa"/>
            <w:vAlign w:val="center"/>
          </w:tcPr>
          <w:p w14:paraId="76313F0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80</w:t>
            </w:r>
          </w:p>
        </w:tc>
        <w:tc>
          <w:tcPr>
            <w:tcW w:w="1590" w:type="dxa"/>
            <w:vAlign w:val="center"/>
          </w:tcPr>
          <w:p w14:paraId="143A300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12E8D4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627</w:t>
            </w:r>
          </w:p>
        </w:tc>
      </w:tr>
      <w:tr w14:paraId="2C11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71D8730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w:t>
            </w:r>
          </w:p>
        </w:tc>
        <w:tc>
          <w:tcPr>
            <w:tcW w:w="1693" w:type="dxa"/>
            <w:vAlign w:val="center"/>
          </w:tcPr>
          <w:p w14:paraId="2E7641D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磐石市</w:t>
            </w:r>
          </w:p>
        </w:tc>
        <w:tc>
          <w:tcPr>
            <w:tcW w:w="1247" w:type="dxa"/>
            <w:vAlign w:val="center"/>
          </w:tcPr>
          <w:p w14:paraId="7E9F069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282</w:t>
            </w:r>
          </w:p>
        </w:tc>
        <w:tc>
          <w:tcPr>
            <w:tcW w:w="1500" w:type="dxa"/>
            <w:vAlign w:val="center"/>
          </w:tcPr>
          <w:p w14:paraId="6C072BD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90</w:t>
            </w:r>
          </w:p>
        </w:tc>
        <w:tc>
          <w:tcPr>
            <w:tcW w:w="1785" w:type="dxa"/>
            <w:vAlign w:val="center"/>
          </w:tcPr>
          <w:p w14:paraId="7679002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746819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B3837F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372</w:t>
            </w:r>
          </w:p>
        </w:tc>
      </w:tr>
      <w:tr w14:paraId="33F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007014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w:t>
            </w:r>
          </w:p>
        </w:tc>
        <w:tc>
          <w:tcPr>
            <w:tcW w:w="1693" w:type="dxa"/>
            <w:vAlign w:val="center"/>
          </w:tcPr>
          <w:p w14:paraId="179C137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桦甸市</w:t>
            </w:r>
          </w:p>
        </w:tc>
        <w:tc>
          <w:tcPr>
            <w:tcW w:w="1247" w:type="dxa"/>
            <w:vAlign w:val="center"/>
          </w:tcPr>
          <w:p w14:paraId="21EEEC2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365</w:t>
            </w:r>
          </w:p>
        </w:tc>
        <w:tc>
          <w:tcPr>
            <w:tcW w:w="1500" w:type="dxa"/>
            <w:vAlign w:val="center"/>
          </w:tcPr>
          <w:p w14:paraId="388F1DE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7DC2E65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C1DC28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030DDA2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365</w:t>
            </w:r>
          </w:p>
        </w:tc>
      </w:tr>
      <w:tr w14:paraId="6501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56B61B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w:t>
            </w:r>
          </w:p>
        </w:tc>
        <w:tc>
          <w:tcPr>
            <w:tcW w:w="1693" w:type="dxa"/>
            <w:vAlign w:val="center"/>
          </w:tcPr>
          <w:p w14:paraId="59B4170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四平市本级</w:t>
            </w:r>
          </w:p>
        </w:tc>
        <w:tc>
          <w:tcPr>
            <w:tcW w:w="1247" w:type="dxa"/>
            <w:vAlign w:val="center"/>
          </w:tcPr>
          <w:p w14:paraId="4CB021D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86</w:t>
            </w:r>
          </w:p>
        </w:tc>
        <w:tc>
          <w:tcPr>
            <w:tcW w:w="1500" w:type="dxa"/>
            <w:vAlign w:val="center"/>
          </w:tcPr>
          <w:p w14:paraId="244F616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785" w:type="dxa"/>
            <w:vAlign w:val="center"/>
          </w:tcPr>
          <w:p w14:paraId="19C4894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5CBDA3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85</w:t>
            </w:r>
          </w:p>
        </w:tc>
        <w:tc>
          <w:tcPr>
            <w:tcW w:w="1108" w:type="dxa"/>
            <w:vAlign w:val="center"/>
          </w:tcPr>
          <w:p w14:paraId="705E6BB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201</w:t>
            </w:r>
          </w:p>
        </w:tc>
      </w:tr>
      <w:tr w14:paraId="6BEAE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9DB405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15</w:t>
            </w:r>
          </w:p>
        </w:tc>
        <w:tc>
          <w:tcPr>
            <w:tcW w:w="1693" w:type="dxa"/>
            <w:vAlign w:val="center"/>
          </w:tcPr>
          <w:p w14:paraId="6DE7670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伊通县</w:t>
            </w:r>
          </w:p>
        </w:tc>
        <w:tc>
          <w:tcPr>
            <w:tcW w:w="1247" w:type="dxa"/>
            <w:vAlign w:val="center"/>
          </w:tcPr>
          <w:p w14:paraId="40D6789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449</w:t>
            </w:r>
          </w:p>
        </w:tc>
        <w:tc>
          <w:tcPr>
            <w:tcW w:w="1500" w:type="dxa"/>
            <w:vAlign w:val="center"/>
          </w:tcPr>
          <w:p w14:paraId="4350CF2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150</w:t>
            </w:r>
          </w:p>
        </w:tc>
        <w:tc>
          <w:tcPr>
            <w:tcW w:w="1785" w:type="dxa"/>
            <w:vAlign w:val="center"/>
          </w:tcPr>
          <w:p w14:paraId="0D9871E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590" w:type="dxa"/>
            <w:vAlign w:val="center"/>
          </w:tcPr>
          <w:p w14:paraId="19CEA62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6F3C6AF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649</w:t>
            </w:r>
          </w:p>
        </w:tc>
      </w:tr>
      <w:tr w14:paraId="5B50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0235BA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16</w:t>
            </w:r>
          </w:p>
        </w:tc>
        <w:tc>
          <w:tcPr>
            <w:tcW w:w="1693" w:type="dxa"/>
            <w:vAlign w:val="center"/>
          </w:tcPr>
          <w:p w14:paraId="657A97B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双辽市</w:t>
            </w:r>
          </w:p>
        </w:tc>
        <w:tc>
          <w:tcPr>
            <w:tcW w:w="1247" w:type="dxa"/>
            <w:vAlign w:val="center"/>
          </w:tcPr>
          <w:p w14:paraId="17980E1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310</w:t>
            </w:r>
          </w:p>
        </w:tc>
        <w:tc>
          <w:tcPr>
            <w:tcW w:w="1500" w:type="dxa"/>
            <w:vAlign w:val="center"/>
          </w:tcPr>
          <w:p w14:paraId="6DDABD7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165</w:t>
            </w:r>
          </w:p>
        </w:tc>
        <w:tc>
          <w:tcPr>
            <w:tcW w:w="1785" w:type="dxa"/>
            <w:vAlign w:val="center"/>
          </w:tcPr>
          <w:p w14:paraId="2A3CE97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E8B89F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5E218A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475</w:t>
            </w:r>
          </w:p>
        </w:tc>
      </w:tr>
      <w:tr w14:paraId="5F83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F1A779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17</w:t>
            </w:r>
          </w:p>
        </w:tc>
        <w:tc>
          <w:tcPr>
            <w:tcW w:w="1693" w:type="dxa"/>
            <w:vAlign w:val="center"/>
          </w:tcPr>
          <w:p w14:paraId="7F88E4B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辽源市本级</w:t>
            </w:r>
          </w:p>
        </w:tc>
        <w:tc>
          <w:tcPr>
            <w:tcW w:w="1247" w:type="dxa"/>
            <w:vAlign w:val="center"/>
          </w:tcPr>
          <w:p w14:paraId="25D4802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63</w:t>
            </w:r>
          </w:p>
        </w:tc>
        <w:tc>
          <w:tcPr>
            <w:tcW w:w="1500" w:type="dxa"/>
            <w:vAlign w:val="center"/>
          </w:tcPr>
          <w:p w14:paraId="70CAA0C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081FDB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3EEAD93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45</w:t>
            </w:r>
          </w:p>
        </w:tc>
        <w:tc>
          <w:tcPr>
            <w:tcW w:w="1108" w:type="dxa"/>
            <w:vAlign w:val="center"/>
          </w:tcPr>
          <w:p w14:paraId="0FFA20A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108</w:t>
            </w:r>
          </w:p>
        </w:tc>
      </w:tr>
      <w:tr w14:paraId="0786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F504D3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18</w:t>
            </w:r>
          </w:p>
        </w:tc>
        <w:tc>
          <w:tcPr>
            <w:tcW w:w="1693" w:type="dxa"/>
            <w:vAlign w:val="center"/>
          </w:tcPr>
          <w:p w14:paraId="7118D0D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东辽县</w:t>
            </w:r>
          </w:p>
        </w:tc>
        <w:tc>
          <w:tcPr>
            <w:tcW w:w="1247" w:type="dxa"/>
            <w:vAlign w:val="center"/>
          </w:tcPr>
          <w:p w14:paraId="7D969C5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259</w:t>
            </w:r>
          </w:p>
        </w:tc>
        <w:tc>
          <w:tcPr>
            <w:tcW w:w="1500" w:type="dxa"/>
            <w:vAlign w:val="center"/>
          </w:tcPr>
          <w:p w14:paraId="4381165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740FF6F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2DCD53A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1C2731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309</w:t>
            </w:r>
          </w:p>
        </w:tc>
      </w:tr>
      <w:tr w14:paraId="540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90CBF1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w:t>
            </w:r>
          </w:p>
        </w:tc>
        <w:tc>
          <w:tcPr>
            <w:tcW w:w="1693" w:type="dxa"/>
            <w:vAlign w:val="center"/>
          </w:tcPr>
          <w:p w14:paraId="78EDDDB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通化市本级</w:t>
            </w:r>
          </w:p>
        </w:tc>
        <w:tc>
          <w:tcPr>
            <w:tcW w:w="1247" w:type="dxa"/>
            <w:vAlign w:val="center"/>
          </w:tcPr>
          <w:p w14:paraId="3106891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63</w:t>
            </w:r>
          </w:p>
        </w:tc>
        <w:tc>
          <w:tcPr>
            <w:tcW w:w="1500" w:type="dxa"/>
            <w:vAlign w:val="center"/>
          </w:tcPr>
          <w:p w14:paraId="2D09A49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2D928C7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2A53DC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55</w:t>
            </w:r>
          </w:p>
        </w:tc>
        <w:tc>
          <w:tcPr>
            <w:tcW w:w="1108" w:type="dxa"/>
            <w:vAlign w:val="center"/>
          </w:tcPr>
          <w:p w14:paraId="24776DD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118</w:t>
            </w:r>
          </w:p>
        </w:tc>
      </w:tr>
      <w:tr w14:paraId="5432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53F126F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20</w:t>
            </w:r>
          </w:p>
        </w:tc>
        <w:tc>
          <w:tcPr>
            <w:tcW w:w="1693" w:type="dxa"/>
            <w:vAlign w:val="center"/>
          </w:tcPr>
          <w:p w14:paraId="069BABC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通化县</w:t>
            </w:r>
          </w:p>
        </w:tc>
        <w:tc>
          <w:tcPr>
            <w:tcW w:w="1247" w:type="dxa"/>
            <w:vAlign w:val="center"/>
          </w:tcPr>
          <w:p w14:paraId="22E9EE9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107</w:t>
            </w:r>
          </w:p>
        </w:tc>
        <w:tc>
          <w:tcPr>
            <w:tcW w:w="1500" w:type="dxa"/>
            <w:vAlign w:val="center"/>
          </w:tcPr>
          <w:p w14:paraId="7B1DDBB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62125A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0D07EC1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1B8A94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107</w:t>
            </w:r>
          </w:p>
        </w:tc>
      </w:tr>
      <w:tr w14:paraId="33CB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D58107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21</w:t>
            </w:r>
          </w:p>
        </w:tc>
        <w:tc>
          <w:tcPr>
            <w:tcW w:w="1693" w:type="dxa"/>
            <w:vAlign w:val="center"/>
          </w:tcPr>
          <w:p w14:paraId="4748206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集安市</w:t>
            </w:r>
          </w:p>
        </w:tc>
        <w:tc>
          <w:tcPr>
            <w:tcW w:w="1247" w:type="dxa"/>
            <w:vAlign w:val="center"/>
          </w:tcPr>
          <w:p w14:paraId="2837714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c>
          <w:tcPr>
            <w:tcW w:w="1500" w:type="dxa"/>
            <w:vAlign w:val="center"/>
          </w:tcPr>
          <w:p w14:paraId="4D1C006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43B08F4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B0FE6C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849082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r>
      <w:tr w14:paraId="545A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1A323AB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22</w:t>
            </w:r>
          </w:p>
        </w:tc>
        <w:tc>
          <w:tcPr>
            <w:tcW w:w="1693" w:type="dxa"/>
            <w:vAlign w:val="center"/>
          </w:tcPr>
          <w:p w14:paraId="07BC13D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柳河县</w:t>
            </w:r>
          </w:p>
        </w:tc>
        <w:tc>
          <w:tcPr>
            <w:tcW w:w="1247" w:type="dxa"/>
            <w:vAlign w:val="center"/>
          </w:tcPr>
          <w:p w14:paraId="63D9466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178</w:t>
            </w:r>
          </w:p>
        </w:tc>
        <w:tc>
          <w:tcPr>
            <w:tcW w:w="1500" w:type="dxa"/>
            <w:vAlign w:val="center"/>
          </w:tcPr>
          <w:p w14:paraId="7C1637B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40</w:t>
            </w:r>
          </w:p>
        </w:tc>
        <w:tc>
          <w:tcPr>
            <w:tcW w:w="1785" w:type="dxa"/>
            <w:vAlign w:val="center"/>
          </w:tcPr>
          <w:p w14:paraId="576E5B2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C54B65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CEF768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218</w:t>
            </w:r>
          </w:p>
        </w:tc>
      </w:tr>
      <w:tr w14:paraId="2014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D5952D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23</w:t>
            </w:r>
          </w:p>
        </w:tc>
        <w:tc>
          <w:tcPr>
            <w:tcW w:w="1693" w:type="dxa"/>
            <w:vAlign w:val="center"/>
          </w:tcPr>
          <w:p w14:paraId="5009613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辉南县</w:t>
            </w:r>
          </w:p>
        </w:tc>
        <w:tc>
          <w:tcPr>
            <w:tcW w:w="1247" w:type="dxa"/>
            <w:vAlign w:val="center"/>
          </w:tcPr>
          <w:p w14:paraId="05046EC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137</w:t>
            </w:r>
          </w:p>
        </w:tc>
        <w:tc>
          <w:tcPr>
            <w:tcW w:w="1500" w:type="dxa"/>
            <w:vAlign w:val="center"/>
          </w:tcPr>
          <w:p w14:paraId="7A41506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F31CAD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45588DE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D718B9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137</w:t>
            </w:r>
          </w:p>
        </w:tc>
      </w:tr>
      <w:tr w14:paraId="7894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4DB295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24</w:t>
            </w:r>
          </w:p>
        </w:tc>
        <w:tc>
          <w:tcPr>
            <w:tcW w:w="1693" w:type="dxa"/>
            <w:vAlign w:val="center"/>
          </w:tcPr>
          <w:p w14:paraId="5A3EA61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白山市本级</w:t>
            </w:r>
          </w:p>
        </w:tc>
        <w:tc>
          <w:tcPr>
            <w:tcW w:w="1247" w:type="dxa"/>
            <w:vAlign w:val="center"/>
          </w:tcPr>
          <w:p w14:paraId="56A6F04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135</w:t>
            </w:r>
          </w:p>
        </w:tc>
        <w:tc>
          <w:tcPr>
            <w:tcW w:w="1500" w:type="dxa"/>
            <w:vAlign w:val="center"/>
          </w:tcPr>
          <w:p w14:paraId="385B8CD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4C620EE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623494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40</w:t>
            </w:r>
          </w:p>
        </w:tc>
        <w:tc>
          <w:tcPr>
            <w:tcW w:w="1108" w:type="dxa"/>
            <w:vAlign w:val="center"/>
          </w:tcPr>
          <w:p w14:paraId="6C47757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175</w:t>
            </w:r>
          </w:p>
        </w:tc>
      </w:tr>
      <w:tr w14:paraId="3CD3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4D9300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w:t>
            </w:r>
          </w:p>
        </w:tc>
        <w:tc>
          <w:tcPr>
            <w:tcW w:w="1693" w:type="dxa"/>
            <w:vAlign w:val="center"/>
          </w:tcPr>
          <w:p w14:paraId="45972FF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江源区</w:t>
            </w:r>
          </w:p>
        </w:tc>
        <w:tc>
          <w:tcPr>
            <w:tcW w:w="1247" w:type="dxa"/>
            <w:vAlign w:val="center"/>
          </w:tcPr>
          <w:p w14:paraId="2B0C5FA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34</w:t>
            </w:r>
          </w:p>
        </w:tc>
        <w:tc>
          <w:tcPr>
            <w:tcW w:w="1500" w:type="dxa"/>
            <w:vAlign w:val="center"/>
          </w:tcPr>
          <w:p w14:paraId="42921E1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785" w:type="dxa"/>
            <w:vAlign w:val="center"/>
          </w:tcPr>
          <w:p w14:paraId="723C356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3E3BAB6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1BAFEB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64</w:t>
            </w:r>
          </w:p>
        </w:tc>
      </w:tr>
      <w:tr w14:paraId="4AB0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74A0966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26</w:t>
            </w:r>
          </w:p>
        </w:tc>
        <w:tc>
          <w:tcPr>
            <w:tcW w:w="1693" w:type="dxa"/>
            <w:vAlign w:val="center"/>
          </w:tcPr>
          <w:p w14:paraId="5A364CF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抚松县</w:t>
            </w:r>
          </w:p>
        </w:tc>
        <w:tc>
          <w:tcPr>
            <w:tcW w:w="1247" w:type="dxa"/>
            <w:vAlign w:val="center"/>
          </w:tcPr>
          <w:p w14:paraId="1052714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66</w:t>
            </w:r>
          </w:p>
        </w:tc>
        <w:tc>
          <w:tcPr>
            <w:tcW w:w="1500" w:type="dxa"/>
            <w:vAlign w:val="center"/>
          </w:tcPr>
          <w:p w14:paraId="6826D4A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785" w:type="dxa"/>
            <w:vAlign w:val="center"/>
          </w:tcPr>
          <w:p w14:paraId="70A1DDC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D1C17F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97DBB0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96</w:t>
            </w:r>
          </w:p>
        </w:tc>
      </w:tr>
      <w:tr w14:paraId="4A22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001A99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27</w:t>
            </w:r>
          </w:p>
        </w:tc>
        <w:tc>
          <w:tcPr>
            <w:tcW w:w="1693" w:type="dxa"/>
            <w:vAlign w:val="center"/>
          </w:tcPr>
          <w:p w14:paraId="0F67A3E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长白县</w:t>
            </w:r>
          </w:p>
        </w:tc>
        <w:tc>
          <w:tcPr>
            <w:tcW w:w="1247" w:type="dxa"/>
            <w:vAlign w:val="center"/>
          </w:tcPr>
          <w:p w14:paraId="4194967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c>
          <w:tcPr>
            <w:tcW w:w="1500" w:type="dxa"/>
            <w:vAlign w:val="center"/>
          </w:tcPr>
          <w:p w14:paraId="658A15D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28B28E2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B66F37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17AF85F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r>
      <w:tr w14:paraId="6F5C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A76345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w:t>
            </w:r>
          </w:p>
        </w:tc>
        <w:tc>
          <w:tcPr>
            <w:tcW w:w="1693" w:type="dxa"/>
            <w:vAlign w:val="center"/>
          </w:tcPr>
          <w:p w14:paraId="2364E3D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靖宇县</w:t>
            </w:r>
          </w:p>
        </w:tc>
        <w:tc>
          <w:tcPr>
            <w:tcW w:w="1247" w:type="dxa"/>
            <w:vAlign w:val="center"/>
          </w:tcPr>
          <w:p w14:paraId="201C058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46</w:t>
            </w:r>
          </w:p>
        </w:tc>
        <w:tc>
          <w:tcPr>
            <w:tcW w:w="1500" w:type="dxa"/>
            <w:vAlign w:val="center"/>
          </w:tcPr>
          <w:p w14:paraId="6A0FAA3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53EDA8B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7E6024A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B07700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46</w:t>
            </w:r>
          </w:p>
        </w:tc>
      </w:tr>
      <w:tr w14:paraId="5707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247A4C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29</w:t>
            </w:r>
          </w:p>
        </w:tc>
        <w:tc>
          <w:tcPr>
            <w:tcW w:w="1693" w:type="dxa"/>
            <w:vAlign w:val="center"/>
          </w:tcPr>
          <w:p w14:paraId="21A4EF1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临江市</w:t>
            </w:r>
          </w:p>
        </w:tc>
        <w:tc>
          <w:tcPr>
            <w:tcW w:w="1247" w:type="dxa"/>
            <w:vAlign w:val="center"/>
          </w:tcPr>
          <w:p w14:paraId="60D4B7F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38</w:t>
            </w:r>
          </w:p>
        </w:tc>
        <w:tc>
          <w:tcPr>
            <w:tcW w:w="1500" w:type="dxa"/>
            <w:vAlign w:val="center"/>
          </w:tcPr>
          <w:p w14:paraId="59D7C40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27D0352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EC7BDC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77C00CB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38</w:t>
            </w:r>
          </w:p>
        </w:tc>
      </w:tr>
      <w:tr w14:paraId="53F8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A1A4AF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693" w:type="dxa"/>
            <w:vAlign w:val="center"/>
          </w:tcPr>
          <w:p w14:paraId="1038889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松原市本级</w:t>
            </w:r>
          </w:p>
        </w:tc>
        <w:tc>
          <w:tcPr>
            <w:tcW w:w="1247" w:type="dxa"/>
            <w:vAlign w:val="center"/>
          </w:tcPr>
          <w:p w14:paraId="2C80788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195</w:t>
            </w:r>
          </w:p>
        </w:tc>
        <w:tc>
          <w:tcPr>
            <w:tcW w:w="1500" w:type="dxa"/>
            <w:vAlign w:val="center"/>
          </w:tcPr>
          <w:p w14:paraId="5E55E44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785" w:type="dxa"/>
            <w:vAlign w:val="center"/>
          </w:tcPr>
          <w:p w14:paraId="6658849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590" w:type="dxa"/>
            <w:vAlign w:val="center"/>
          </w:tcPr>
          <w:p w14:paraId="104CD83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108" w:type="dxa"/>
            <w:vAlign w:val="center"/>
          </w:tcPr>
          <w:p w14:paraId="647F00B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375</w:t>
            </w:r>
          </w:p>
        </w:tc>
      </w:tr>
      <w:tr w14:paraId="1291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2340B1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31</w:t>
            </w:r>
          </w:p>
        </w:tc>
        <w:tc>
          <w:tcPr>
            <w:tcW w:w="1693" w:type="dxa"/>
            <w:vAlign w:val="center"/>
          </w:tcPr>
          <w:p w14:paraId="4706969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扶余市</w:t>
            </w:r>
          </w:p>
        </w:tc>
        <w:tc>
          <w:tcPr>
            <w:tcW w:w="1247" w:type="dxa"/>
            <w:vAlign w:val="center"/>
          </w:tcPr>
          <w:p w14:paraId="7078D49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683</w:t>
            </w:r>
          </w:p>
        </w:tc>
        <w:tc>
          <w:tcPr>
            <w:tcW w:w="1500" w:type="dxa"/>
            <w:vAlign w:val="center"/>
          </w:tcPr>
          <w:p w14:paraId="6315A7F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250</w:t>
            </w:r>
          </w:p>
        </w:tc>
        <w:tc>
          <w:tcPr>
            <w:tcW w:w="1785" w:type="dxa"/>
            <w:vAlign w:val="center"/>
          </w:tcPr>
          <w:p w14:paraId="3843080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590" w:type="dxa"/>
            <w:vAlign w:val="center"/>
          </w:tcPr>
          <w:p w14:paraId="2E691BF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56EE51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1033</w:t>
            </w:r>
          </w:p>
        </w:tc>
      </w:tr>
      <w:tr w14:paraId="3611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A3B9BA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32</w:t>
            </w:r>
          </w:p>
        </w:tc>
        <w:tc>
          <w:tcPr>
            <w:tcW w:w="1693" w:type="dxa"/>
            <w:vAlign w:val="center"/>
          </w:tcPr>
          <w:p w14:paraId="1C359B8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前郭县</w:t>
            </w:r>
          </w:p>
        </w:tc>
        <w:tc>
          <w:tcPr>
            <w:tcW w:w="1247" w:type="dxa"/>
            <w:vAlign w:val="center"/>
          </w:tcPr>
          <w:p w14:paraId="55F729D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673</w:t>
            </w:r>
          </w:p>
        </w:tc>
        <w:tc>
          <w:tcPr>
            <w:tcW w:w="1500" w:type="dxa"/>
            <w:vAlign w:val="center"/>
          </w:tcPr>
          <w:p w14:paraId="024EC7C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47C99D3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590" w:type="dxa"/>
            <w:vAlign w:val="center"/>
          </w:tcPr>
          <w:p w14:paraId="7FEB7FE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839F61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823</w:t>
            </w:r>
          </w:p>
        </w:tc>
      </w:tr>
      <w:tr w14:paraId="51EB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74863F6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33</w:t>
            </w:r>
          </w:p>
        </w:tc>
        <w:tc>
          <w:tcPr>
            <w:tcW w:w="1693" w:type="dxa"/>
            <w:vAlign w:val="center"/>
          </w:tcPr>
          <w:p w14:paraId="4AB7A3C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长岭县</w:t>
            </w:r>
          </w:p>
        </w:tc>
        <w:tc>
          <w:tcPr>
            <w:tcW w:w="1247" w:type="dxa"/>
            <w:vAlign w:val="center"/>
          </w:tcPr>
          <w:p w14:paraId="3397A1E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640</w:t>
            </w:r>
          </w:p>
        </w:tc>
        <w:tc>
          <w:tcPr>
            <w:tcW w:w="1500" w:type="dxa"/>
            <w:vAlign w:val="center"/>
          </w:tcPr>
          <w:p w14:paraId="415EA7C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785" w:type="dxa"/>
            <w:vAlign w:val="center"/>
          </w:tcPr>
          <w:p w14:paraId="0E1BD24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FC6E89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609A74E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740</w:t>
            </w:r>
          </w:p>
        </w:tc>
      </w:tr>
      <w:tr w14:paraId="6CD7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C104A5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34</w:t>
            </w:r>
          </w:p>
        </w:tc>
        <w:tc>
          <w:tcPr>
            <w:tcW w:w="1693" w:type="dxa"/>
            <w:vAlign w:val="center"/>
          </w:tcPr>
          <w:p w14:paraId="6A6BF9F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乾安县</w:t>
            </w:r>
          </w:p>
        </w:tc>
        <w:tc>
          <w:tcPr>
            <w:tcW w:w="1247" w:type="dxa"/>
            <w:vAlign w:val="center"/>
          </w:tcPr>
          <w:p w14:paraId="5422A73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332</w:t>
            </w:r>
          </w:p>
        </w:tc>
        <w:tc>
          <w:tcPr>
            <w:tcW w:w="1500" w:type="dxa"/>
            <w:vAlign w:val="center"/>
          </w:tcPr>
          <w:p w14:paraId="1733259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30</w:t>
            </w:r>
          </w:p>
        </w:tc>
        <w:tc>
          <w:tcPr>
            <w:tcW w:w="1785" w:type="dxa"/>
            <w:vAlign w:val="center"/>
          </w:tcPr>
          <w:p w14:paraId="36F6D05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2D85750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A75FFE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362</w:t>
            </w:r>
          </w:p>
        </w:tc>
      </w:tr>
      <w:tr w14:paraId="545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461853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35</w:t>
            </w:r>
          </w:p>
        </w:tc>
        <w:tc>
          <w:tcPr>
            <w:tcW w:w="1693" w:type="dxa"/>
            <w:vAlign w:val="center"/>
          </w:tcPr>
          <w:p w14:paraId="7478D8B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白城市本级</w:t>
            </w:r>
          </w:p>
        </w:tc>
        <w:tc>
          <w:tcPr>
            <w:tcW w:w="1247" w:type="dxa"/>
            <w:vAlign w:val="center"/>
          </w:tcPr>
          <w:p w14:paraId="45CF6AE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320</w:t>
            </w:r>
          </w:p>
        </w:tc>
        <w:tc>
          <w:tcPr>
            <w:tcW w:w="1500" w:type="dxa"/>
            <w:vAlign w:val="center"/>
          </w:tcPr>
          <w:p w14:paraId="6CE46BF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3CE3018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6604C8F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68DC355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320</w:t>
            </w:r>
          </w:p>
        </w:tc>
      </w:tr>
      <w:tr w14:paraId="5CC0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ED729F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36</w:t>
            </w:r>
          </w:p>
        </w:tc>
        <w:tc>
          <w:tcPr>
            <w:tcW w:w="1693" w:type="dxa"/>
            <w:vAlign w:val="center"/>
          </w:tcPr>
          <w:p w14:paraId="3931623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洮南市</w:t>
            </w:r>
          </w:p>
        </w:tc>
        <w:tc>
          <w:tcPr>
            <w:tcW w:w="1247" w:type="dxa"/>
            <w:vAlign w:val="center"/>
          </w:tcPr>
          <w:p w14:paraId="5D26C2C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269</w:t>
            </w:r>
          </w:p>
        </w:tc>
        <w:tc>
          <w:tcPr>
            <w:tcW w:w="1500" w:type="dxa"/>
            <w:vAlign w:val="center"/>
          </w:tcPr>
          <w:p w14:paraId="19AFD07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4D1394A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AE424B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3EA61E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269</w:t>
            </w:r>
          </w:p>
        </w:tc>
      </w:tr>
      <w:tr w14:paraId="5FAF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32B01DF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37</w:t>
            </w:r>
          </w:p>
        </w:tc>
        <w:tc>
          <w:tcPr>
            <w:tcW w:w="1693" w:type="dxa"/>
            <w:vAlign w:val="center"/>
          </w:tcPr>
          <w:p w14:paraId="555A0EF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大安市</w:t>
            </w:r>
          </w:p>
        </w:tc>
        <w:tc>
          <w:tcPr>
            <w:tcW w:w="1247" w:type="dxa"/>
            <w:vAlign w:val="center"/>
          </w:tcPr>
          <w:p w14:paraId="3FDFB20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228</w:t>
            </w:r>
          </w:p>
        </w:tc>
        <w:tc>
          <w:tcPr>
            <w:tcW w:w="1500" w:type="dxa"/>
            <w:vAlign w:val="center"/>
          </w:tcPr>
          <w:p w14:paraId="1D412E1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5D806A3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202F7D6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3C35B5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278</w:t>
            </w:r>
          </w:p>
        </w:tc>
      </w:tr>
      <w:tr w14:paraId="1B54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8F5AAF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38</w:t>
            </w:r>
          </w:p>
        </w:tc>
        <w:tc>
          <w:tcPr>
            <w:tcW w:w="1693" w:type="dxa"/>
            <w:vAlign w:val="center"/>
          </w:tcPr>
          <w:p w14:paraId="0A47E6E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通榆县</w:t>
            </w:r>
          </w:p>
        </w:tc>
        <w:tc>
          <w:tcPr>
            <w:tcW w:w="1247" w:type="dxa"/>
            <w:vAlign w:val="center"/>
          </w:tcPr>
          <w:p w14:paraId="630E344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393</w:t>
            </w:r>
          </w:p>
        </w:tc>
        <w:tc>
          <w:tcPr>
            <w:tcW w:w="1500" w:type="dxa"/>
            <w:vAlign w:val="center"/>
          </w:tcPr>
          <w:p w14:paraId="35F760E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63BD8BA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40AEC3F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1A1C758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393</w:t>
            </w:r>
          </w:p>
        </w:tc>
      </w:tr>
      <w:tr w14:paraId="1B9C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E496F00">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39</w:t>
            </w:r>
          </w:p>
        </w:tc>
        <w:tc>
          <w:tcPr>
            <w:tcW w:w="1693" w:type="dxa"/>
            <w:vAlign w:val="center"/>
          </w:tcPr>
          <w:p w14:paraId="3096E3D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延边州本级</w:t>
            </w:r>
          </w:p>
        </w:tc>
        <w:tc>
          <w:tcPr>
            <w:tcW w:w="1247" w:type="dxa"/>
            <w:vAlign w:val="center"/>
          </w:tcPr>
          <w:p w14:paraId="1B52E21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56</w:t>
            </w:r>
          </w:p>
        </w:tc>
        <w:tc>
          <w:tcPr>
            <w:tcW w:w="1500" w:type="dxa"/>
            <w:vAlign w:val="center"/>
          </w:tcPr>
          <w:p w14:paraId="2A3E63B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44D2FA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7F5B264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44</w:t>
            </w:r>
          </w:p>
        </w:tc>
        <w:tc>
          <w:tcPr>
            <w:tcW w:w="1108" w:type="dxa"/>
            <w:vAlign w:val="center"/>
          </w:tcPr>
          <w:p w14:paraId="379842F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r>
      <w:tr w14:paraId="1590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2C0DB5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40</w:t>
            </w:r>
          </w:p>
        </w:tc>
        <w:tc>
          <w:tcPr>
            <w:tcW w:w="1693" w:type="dxa"/>
            <w:vAlign w:val="center"/>
          </w:tcPr>
          <w:p w14:paraId="0DEF702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延吉市</w:t>
            </w:r>
          </w:p>
        </w:tc>
        <w:tc>
          <w:tcPr>
            <w:tcW w:w="1247" w:type="dxa"/>
            <w:vAlign w:val="center"/>
          </w:tcPr>
          <w:p w14:paraId="4A923CF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48</w:t>
            </w:r>
          </w:p>
        </w:tc>
        <w:tc>
          <w:tcPr>
            <w:tcW w:w="1500" w:type="dxa"/>
            <w:vAlign w:val="center"/>
          </w:tcPr>
          <w:p w14:paraId="3DDDAAF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65</w:t>
            </w:r>
          </w:p>
        </w:tc>
        <w:tc>
          <w:tcPr>
            <w:tcW w:w="1785" w:type="dxa"/>
            <w:vAlign w:val="center"/>
          </w:tcPr>
          <w:p w14:paraId="15FCB83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5F6E900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4F74F25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113</w:t>
            </w:r>
          </w:p>
        </w:tc>
      </w:tr>
      <w:tr w14:paraId="37C2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6D57D0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41</w:t>
            </w:r>
          </w:p>
        </w:tc>
        <w:tc>
          <w:tcPr>
            <w:tcW w:w="1693" w:type="dxa"/>
            <w:vAlign w:val="center"/>
          </w:tcPr>
          <w:p w14:paraId="778B4BE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敦化市</w:t>
            </w:r>
          </w:p>
        </w:tc>
        <w:tc>
          <w:tcPr>
            <w:tcW w:w="1247" w:type="dxa"/>
            <w:vAlign w:val="center"/>
          </w:tcPr>
          <w:p w14:paraId="14CF310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335</w:t>
            </w:r>
          </w:p>
        </w:tc>
        <w:tc>
          <w:tcPr>
            <w:tcW w:w="1500" w:type="dxa"/>
            <w:vAlign w:val="center"/>
          </w:tcPr>
          <w:p w14:paraId="32B9A11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785" w:type="dxa"/>
            <w:vAlign w:val="center"/>
          </w:tcPr>
          <w:p w14:paraId="4EB6116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50</w:t>
            </w:r>
          </w:p>
        </w:tc>
        <w:tc>
          <w:tcPr>
            <w:tcW w:w="1590" w:type="dxa"/>
            <w:vAlign w:val="center"/>
          </w:tcPr>
          <w:p w14:paraId="06F9C6A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DF0A50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435</w:t>
            </w:r>
          </w:p>
        </w:tc>
      </w:tr>
      <w:tr w14:paraId="2250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1B53960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42</w:t>
            </w:r>
          </w:p>
        </w:tc>
        <w:tc>
          <w:tcPr>
            <w:tcW w:w="1693" w:type="dxa"/>
            <w:vAlign w:val="center"/>
          </w:tcPr>
          <w:p w14:paraId="0E73D45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珲春市</w:t>
            </w:r>
          </w:p>
        </w:tc>
        <w:tc>
          <w:tcPr>
            <w:tcW w:w="1247" w:type="dxa"/>
            <w:vAlign w:val="center"/>
          </w:tcPr>
          <w:p w14:paraId="0A8104C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96</w:t>
            </w:r>
          </w:p>
        </w:tc>
        <w:tc>
          <w:tcPr>
            <w:tcW w:w="1500" w:type="dxa"/>
            <w:vAlign w:val="center"/>
          </w:tcPr>
          <w:p w14:paraId="46FDF26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1533975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45</w:t>
            </w:r>
          </w:p>
        </w:tc>
        <w:tc>
          <w:tcPr>
            <w:tcW w:w="1590" w:type="dxa"/>
            <w:vAlign w:val="center"/>
          </w:tcPr>
          <w:p w14:paraId="715BFFA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06415D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141</w:t>
            </w:r>
          </w:p>
        </w:tc>
      </w:tr>
      <w:tr w14:paraId="4A49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14D90AB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43</w:t>
            </w:r>
          </w:p>
        </w:tc>
        <w:tc>
          <w:tcPr>
            <w:tcW w:w="1693" w:type="dxa"/>
            <w:vAlign w:val="center"/>
          </w:tcPr>
          <w:p w14:paraId="6F18E68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龙井市</w:t>
            </w:r>
          </w:p>
        </w:tc>
        <w:tc>
          <w:tcPr>
            <w:tcW w:w="1247" w:type="dxa"/>
            <w:vAlign w:val="center"/>
          </w:tcPr>
          <w:p w14:paraId="6EE94AA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c>
          <w:tcPr>
            <w:tcW w:w="1500" w:type="dxa"/>
            <w:vAlign w:val="center"/>
          </w:tcPr>
          <w:p w14:paraId="18DB7E7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631B97BB">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01539D8C">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64108A7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51</w:t>
            </w:r>
          </w:p>
        </w:tc>
      </w:tr>
      <w:tr w14:paraId="2A37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0318312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44</w:t>
            </w:r>
          </w:p>
        </w:tc>
        <w:tc>
          <w:tcPr>
            <w:tcW w:w="1693" w:type="dxa"/>
            <w:vAlign w:val="center"/>
          </w:tcPr>
          <w:p w14:paraId="21ADF87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和龙市</w:t>
            </w:r>
          </w:p>
        </w:tc>
        <w:tc>
          <w:tcPr>
            <w:tcW w:w="1247" w:type="dxa"/>
            <w:vAlign w:val="center"/>
          </w:tcPr>
          <w:p w14:paraId="68776B5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71</w:t>
            </w:r>
          </w:p>
        </w:tc>
        <w:tc>
          <w:tcPr>
            <w:tcW w:w="1500" w:type="dxa"/>
            <w:vAlign w:val="center"/>
          </w:tcPr>
          <w:p w14:paraId="3C3713E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485232F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0BF39A2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772EC03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71</w:t>
            </w:r>
          </w:p>
        </w:tc>
      </w:tr>
      <w:tr w14:paraId="4A39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95EA16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45</w:t>
            </w:r>
          </w:p>
        </w:tc>
        <w:tc>
          <w:tcPr>
            <w:tcW w:w="1693" w:type="dxa"/>
            <w:vAlign w:val="center"/>
          </w:tcPr>
          <w:p w14:paraId="3526E598">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汪清县</w:t>
            </w:r>
          </w:p>
        </w:tc>
        <w:tc>
          <w:tcPr>
            <w:tcW w:w="1247" w:type="dxa"/>
            <w:vAlign w:val="center"/>
          </w:tcPr>
          <w:p w14:paraId="246E4E2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124</w:t>
            </w:r>
          </w:p>
        </w:tc>
        <w:tc>
          <w:tcPr>
            <w:tcW w:w="1500" w:type="dxa"/>
            <w:vAlign w:val="center"/>
          </w:tcPr>
          <w:p w14:paraId="3049B36A">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78B88EE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720EF9B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2029B16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124</w:t>
            </w:r>
          </w:p>
        </w:tc>
      </w:tr>
      <w:tr w14:paraId="3E18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40E834D6">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46</w:t>
            </w:r>
          </w:p>
        </w:tc>
        <w:tc>
          <w:tcPr>
            <w:tcW w:w="1693" w:type="dxa"/>
            <w:vAlign w:val="center"/>
          </w:tcPr>
          <w:p w14:paraId="2D10C5C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安图县</w:t>
            </w:r>
          </w:p>
        </w:tc>
        <w:tc>
          <w:tcPr>
            <w:tcW w:w="1247" w:type="dxa"/>
            <w:vAlign w:val="center"/>
          </w:tcPr>
          <w:p w14:paraId="40253FA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96</w:t>
            </w:r>
          </w:p>
        </w:tc>
        <w:tc>
          <w:tcPr>
            <w:tcW w:w="1500" w:type="dxa"/>
            <w:vAlign w:val="center"/>
          </w:tcPr>
          <w:p w14:paraId="6095683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5AD75D5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13BDC79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93202DF">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96</w:t>
            </w:r>
          </w:p>
        </w:tc>
      </w:tr>
      <w:tr w14:paraId="7E51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6505020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47</w:t>
            </w:r>
          </w:p>
        </w:tc>
        <w:tc>
          <w:tcPr>
            <w:tcW w:w="1693" w:type="dxa"/>
            <w:vAlign w:val="center"/>
          </w:tcPr>
          <w:p w14:paraId="36D7B18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梅河口市</w:t>
            </w:r>
          </w:p>
        </w:tc>
        <w:tc>
          <w:tcPr>
            <w:tcW w:w="1247" w:type="dxa"/>
            <w:vAlign w:val="center"/>
          </w:tcPr>
          <w:p w14:paraId="330541D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256</w:t>
            </w:r>
          </w:p>
        </w:tc>
        <w:tc>
          <w:tcPr>
            <w:tcW w:w="1500" w:type="dxa"/>
            <w:vAlign w:val="center"/>
          </w:tcPr>
          <w:p w14:paraId="4D01D477">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46974F1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100</w:t>
            </w:r>
          </w:p>
        </w:tc>
        <w:tc>
          <w:tcPr>
            <w:tcW w:w="1590" w:type="dxa"/>
            <w:vAlign w:val="center"/>
          </w:tcPr>
          <w:p w14:paraId="0406BA3D">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588A722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356</w:t>
            </w:r>
          </w:p>
        </w:tc>
      </w:tr>
      <w:tr w14:paraId="4EE5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72" w:type="dxa"/>
            <w:vAlign w:val="center"/>
          </w:tcPr>
          <w:p w14:paraId="29DD37C4">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48</w:t>
            </w:r>
          </w:p>
        </w:tc>
        <w:tc>
          <w:tcPr>
            <w:tcW w:w="1693" w:type="dxa"/>
            <w:vAlign w:val="center"/>
          </w:tcPr>
          <w:p w14:paraId="576BBDB2">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长白山管委会</w:t>
            </w:r>
          </w:p>
        </w:tc>
        <w:tc>
          <w:tcPr>
            <w:tcW w:w="1247" w:type="dxa"/>
            <w:vAlign w:val="center"/>
          </w:tcPr>
          <w:p w14:paraId="77B6CA45">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43</w:t>
            </w:r>
          </w:p>
        </w:tc>
        <w:tc>
          <w:tcPr>
            <w:tcW w:w="1500" w:type="dxa"/>
            <w:vAlign w:val="center"/>
          </w:tcPr>
          <w:p w14:paraId="3917A129">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785" w:type="dxa"/>
            <w:vAlign w:val="center"/>
          </w:tcPr>
          <w:p w14:paraId="08302DD1">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590" w:type="dxa"/>
            <w:vAlign w:val="center"/>
          </w:tcPr>
          <w:p w14:paraId="73EE6113">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w:t>
            </w:r>
          </w:p>
        </w:tc>
        <w:tc>
          <w:tcPr>
            <w:tcW w:w="1108" w:type="dxa"/>
            <w:vAlign w:val="center"/>
          </w:tcPr>
          <w:p w14:paraId="3FA5743E">
            <w:pPr>
              <w:keepNext w:val="0"/>
              <w:keepLines w:val="0"/>
              <w:widowControl/>
              <w:suppressLineNumbers w:val="0"/>
              <w:jc w:val="center"/>
              <w:textAlignment w:val="top"/>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43</w:t>
            </w:r>
          </w:p>
        </w:tc>
      </w:tr>
    </w:tbl>
    <w:p w14:paraId="4A71EEB4">
      <w:pPr>
        <w:pStyle w:val="14"/>
        <w:keepNext w:val="0"/>
        <w:keepLines w:val="0"/>
        <w:pageBreakBefore w:val="0"/>
        <w:kinsoku/>
        <w:wordWrap/>
        <w:overflowPunct/>
        <w:topLinePunct w:val="0"/>
        <w:autoSpaceDE/>
        <w:bidi w:val="0"/>
        <w:adjustRightInd/>
        <w:snapToGrid/>
        <w:spacing w:line="600" w:lineRule="exact"/>
        <w:ind w:left="0" w:leftChars="0" w:firstLine="0" w:firstLineChars="0"/>
        <w:jc w:val="both"/>
        <w:rPr>
          <w:rFonts w:hint="default" w:ascii="Times New Roman" w:hAnsi="Times New Roman" w:eastAsia="仿宋_GB2312" w:cs="Times New Roman"/>
          <w:b w:val="0"/>
          <w:bCs w:val="0"/>
          <w:color w:val="auto"/>
          <w:sz w:val="32"/>
          <w:szCs w:val="32"/>
          <w:lang w:val="en-US" w:eastAsia="zh-CN"/>
        </w:rPr>
      </w:pPr>
    </w:p>
    <w:sectPr>
      <w:footerReference r:id="rId4" w:type="default"/>
      <w:pgSz w:w="11906" w:h="16838"/>
      <w:pgMar w:top="2098" w:right="1474" w:bottom="1984" w:left="1588" w:header="851" w:footer="1400"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B874">
    <w:pPr>
      <w:spacing w:line="14" w:lineRule="auto"/>
      <w:rPr>
        <w:rFonts w:hint="eastAsia" w:ascii="宋体" w:hAnsi="宋体" w:eastAsia="宋体" w:cs="宋体"/>
        <w:sz w:val="28"/>
        <w:lang w:eastAsia="zh-CN"/>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D7BD44">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48D7BD44">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C350">
    <w:pPr>
      <w:widowControl w:val="0"/>
      <w:snapToGrid w:val="0"/>
      <w:jc w:val="right"/>
      <w:rPr>
        <w:rFonts w:hint="eastAsia" w:ascii="宋体" w:hAnsi="宋体" w:eastAsia="宋体" w:cs="宋体"/>
        <w:kern w:val="2"/>
        <w:sz w:val="28"/>
        <w:szCs w:val="24"/>
        <w:lang w:val="en-US" w:eastAsia="zh-CN" w:bidi="ar-SA"/>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F97FC8">
                          <w:pPr>
                            <w:pStyle w:val="6"/>
                          </w:pPr>
                          <w:r>
                            <w:fldChar w:fldCharType="begin"/>
                          </w:r>
                          <w:r>
                            <w:instrText xml:space="preserve"> PAGE  \* MERGEFORMAT </w:instrText>
                          </w:r>
                          <w:r>
                            <w:fldChar w:fldCharType="separate"/>
                          </w:r>
                          <w:r>
                            <w:t>11</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qfrfTAQAAngMAAA4AAAAAAAAAAQAgAAAAHwEA&#10;AGRycy9lMm9Eb2MueG1sUEsFBgAAAAAGAAYAWQEAAGQFAAAAAA==&#10;">
              <v:fill on="f" focussize="0,0"/>
              <v:stroke on="f"/>
              <v:imagedata o:title=""/>
              <o:lock v:ext="edit" aspectratio="f"/>
              <v:textbox inset="0mm,0mm,0mm,0mm" style="mso-fit-shape-to-text:t;">
                <w:txbxContent>
                  <w:p w14:paraId="20F97FC8">
                    <w:pPr>
                      <w:pStyle w:val="6"/>
                    </w:pPr>
                    <w:r>
                      <w:fldChar w:fldCharType="begin"/>
                    </w:r>
                    <w:r>
                      <w:instrText xml:space="preserve"> PAGE  \* MERGEFORMAT </w:instrText>
                    </w:r>
                    <w:r>
                      <w:fldChar w:fldCharType="separate"/>
                    </w:r>
                    <w:r>
                      <w:t>11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3897"/>
    <w:rsid w:val="00D72607"/>
    <w:rsid w:val="01123C1D"/>
    <w:rsid w:val="01161381"/>
    <w:rsid w:val="031A4A2D"/>
    <w:rsid w:val="04003890"/>
    <w:rsid w:val="04A62A1C"/>
    <w:rsid w:val="052851DF"/>
    <w:rsid w:val="052E47BF"/>
    <w:rsid w:val="05654685"/>
    <w:rsid w:val="06147E59"/>
    <w:rsid w:val="06652463"/>
    <w:rsid w:val="067601CC"/>
    <w:rsid w:val="07B23486"/>
    <w:rsid w:val="07D01B5E"/>
    <w:rsid w:val="0845254C"/>
    <w:rsid w:val="08547948"/>
    <w:rsid w:val="085B3B1D"/>
    <w:rsid w:val="09497E1A"/>
    <w:rsid w:val="09960A1B"/>
    <w:rsid w:val="09D75426"/>
    <w:rsid w:val="0A454A85"/>
    <w:rsid w:val="0A60541B"/>
    <w:rsid w:val="0BA871AF"/>
    <w:rsid w:val="0C3B31E9"/>
    <w:rsid w:val="0C5D60B6"/>
    <w:rsid w:val="0C5E1E2E"/>
    <w:rsid w:val="0C7F7309"/>
    <w:rsid w:val="0CCF4ADA"/>
    <w:rsid w:val="0D29243C"/>
    <w:rsid w:val="0D584ACF"/>
    <w:rsid w:val="0D782A7C"/>
    <w:rsid w:val="0DD0740A"/>
    <w:rsid w:val="0F1113DA"/>
    <w:rsid w:val="0F426F80"/>
    <w:rsid w:val="10E71A28"/>
    <w:rsid w:val="11050ACA"/>
    <w:rsid w:val="11374DBC"/>
    <w:rsid w:val="11FE3E97"/>
    <w:rsid w:val="12EB3CF0"/>
    <w:rsid w:val="13561AB1"/>
    <w:rsid w:val="146017B5"/>
    <w:rsid w:val="14C60571"/>
    <w:rsid w:val="155E7BC5"/>
    <w:rsid w:val="156D0172"/>
    <w:rsid w:val="15FF5FFC"/>
    <w:rsid w:val="160C28FB"/>
    <w:rsid w:val="16DD5701"/>
    <w:rsid w:val="16FF7D6A"/>
    <w:rsid w:val="17312619"/>
    <w:rsid w:val="179D52C0"/>
    <w:rsid w:val="17A7432A"/>
    <w:rsid w:val="17F35B20"/>
    <w:rsid w:val="186B56B7"/>
    <w:rsid w:val="189B2DE0"/>
    <w:rsid w:val="19ED659F"/>
    <w:rsid w:val="19F16504"/>
    <w:rsid w:val="1A4F2DB6"/>
    <w:rsid w:val="1A5F2FF9"/>
    <w:rsid w:val="1A6C043C"/>
    <w:rsid w:val="1B091AE0"/>
    <w:rsid w:val="1B970EB9"/>
    <w:rsid w:val="1BC05D1A"/>
    <w:rsid w:val="1EA062D6"/>
    <w:rsid w:val="1FC33446"/>
    <w:rsid w:val="1FDB5818"/>
    <w:rsid w:val="21AE4866"/>
    <w:rsid w:val="223B7CB0"/>
    <w:rsid w:val="22486A69"/>
    <w:rsid w:val="239E5D32"/>
    <w:rsid w:val="25071C3F"/>
    <w:rsid w:val="257C53A7"/>
    <w:rsid w:val="25B97332"/>
    <w:rsid w:val="27850868"/>
    <w:rsid w:val="28424B6B"/>
    <w:rsid w:val="28700AC7"/>
    <w:rsid w:val="288B3B53"/>
    <w:rsid w:val="298A7967"/>
    <w:rsid w:val="298C2CFC"/>
    <w:rsid w:val="29AF561F"/>
    <w:rsid w:val="2AA42CAA"/>
    <w:rsid w:val="2B011EAB"/>
    <w:rsid w:val="2B2B31FA"/>
    <w:rsid w:val="2B5841C1"/>
    <w:rsid w:val="2B742E4B"/>
    <w:rsid w:val="2B85488A"/>
    <w:rsid w:val="2CCD0296"/>
    <w:rsid w:val="2CDB6B0A"/>
    <w:rsid w:val="2CEC3EC3"/>
    <w:rsid w:val="2D8017AD"/>
    <w:rsid w:val="2E8F766D"/>
    <w:rsid w:val="2EAE40F8"/>
    <w:rsid w:val="2EB42CB5"/>
    <w:rsid w:val="2F074860"/>
    <w:rsid w:val="2F0A3A24"/>
    <w:rsid w:val="2FB614B6"/>
    <w:rsid w:val="2FE9188B"/>
    <w:rsid w:val="305B3700"/>
    <w:rsid w:val="30F73B34"/>
    <w:rsid w:val="314A568F"/>
    <w:rsid w:val="31501496"/>
    <w:rsid w:val="31B37593"/>
    <w:rsid w:val="33242BDA"/>
    <w:rsid w:val="335A2AA0"/>
    <w:rsid w:val="335F3C12"/>
    <w:rsid w:val="33A37FA3"/>
    <w:rsid w:val="33C65786"/>
    <w:rsid w:val="35417A73"/>
    <w:rsid w:val="35CE6E2D"/>
    <w:rsid w:val="36252EF1"/>
    <w:rsid w:val="37736ABC"/>
    <w:rsid w:val="37BC3501"/>
    <w:rsid w:val="37F60FE9"/>
    <w:rsid w:val="38985A08"/>
    <w:rsid w:val="396A50BF"/>
    <w:rsid w:val="39E76710"/>
    <w:rsid w:val="3B6F41CE"/>
    <w:rsid w:val="3BDF6545"/>
    <w:rsid w:val="3DE74B41"/>
    <w:rsid w:val="3EAB41B0"/>
    <w:rsid w:val="3F19380F"/>
    <w:rsid w:val="3F716FEA"/>
    <w:rsid w:val="3F942E96"/>
    <w:rsid w:val="3FA41967"/>
    <w:rsid w:val="406347D9"/>
    <w:rsid w:val="41F320F5"/>
    <w:rsid w:val="425270EF"/>
    <w:rsid w:val="425F3C2F"/>
    <w:rsid w:val="43076479"/>
    <w:rsid w:val="43274E06"/>
    <w:rsid w:val="44896D41"/>
    <w:rsid w:val="45B85B30"/>
    <w:rsid w:val="45EF52CA"/>
    <w:rsid w:val="47525B10"/>
    <w:rsid w:val="479954ED"/>
    <w:rsid w:val="48013092"/>
    <w:rsid w:val="48171DE7"/>
    <w:rsid w:val="48224E01"/>
    <w:rsid w:val="483E2E99"/>
    <w:rsid w:val="4A4031D0"/>
    <w:rsid w:val="4A621FC3"/>
    <w:rsid w:val="4C2D4E0D"/>
    <w:rsid w:val="4D003F07"/>
    <w:rsid w:val="4DC808DA"/>
    <w:rsid w:val="4DE83FA1"/>
    <w:rsid w:val="4DF55447"/>
    <w:rsid w:val="4E6A373F"/>
    <w:rsid w:val="4F7D13F7"/>
    <w:rsid w:val="512247A5"/>
    <w:rsid w:val="523A6233"/>
    <w:rsid w:val="52642B9B"/>
    <w:rsid w:val="52A54BF6"/>
    <w:rsid w:val="52E635B0"/>
    <w:rsid w:val="536C4497"/>
    <w:rsid w:val="538B4884"/>
    <w:rsid w:val="53BB0A35"/>
    <w:rsid w:val="53F02939"/>
    <w:rsid w:val="549C661D"/>
    <w:rsid w:val="54D44008"/>
    <w:rsid w:val="55004DFD"/>
    <w:rsid w:val="557D644E"/>
    <w:rsid w:val="559A7000"/>
    <w:rsid w:val="55BA66A9"/>
    <w:rsid w:val="56356FA2"/>
    <w:rsid w:val="564C7BCE"/>
    <w:rsid w:val="56786C15"/>
    <w:rsid w:val="568B62E2"/>
    <w:rsid w:val="575E5E0B"/>
    <w:rsid w:val="57671164"/>
    <w:rsid w:val="57945CD1"/>
    <w:rsid w:val="58072B4C"/>
    <w:rsid w:val="58D72143"/>
    <w:rsid w:val="599B50F5"/>
    <w:rsid w:val="5AB50438"/>
    <w:rsid w:val="5ACC12DE"/>
    <w:rsid w:val="5B2D4472"/>
    <w:rsid w:val="5BD44ABB"/>
    <w:rsid w:val="5C555569"/>
    <w:rsid w:val="5C6A1FF3"/>
    <w:rsid w:val="5D101956"/>
    <w:rsid w:val="5D4C7FC4"/>
    <w:rsid w:val="5E0F7E5F"/>
    <w:rsid w:val="5E630B70"/>
    <w:rsid w:val="5E8F2D4E"/>
    <w:rsid w:val="5F092173"/>
    <w:rsid w:val="5FCA04E2"/>
    <w:rsid w:val="60A056E7"/>
    <w:rsid w:val="60D72A78"/>
    <w:rsid w:val="617A2436"/>
    <w:rsid w:val="61FE0917"/>
    <w:rsid w:val="61FE4473"/>
    <w:rsid w:val="622B7232"/>
    <w:rsid w:val="62436329"/>
    <w:rsid w:val="630F26B0"/>
    <w:rsid w:val="63471BEA"/>
    <w:rsid w:val="647D1326"/>
    <w:rsid w:val="652B5A36"/>
    <w:rsid w:val="65970D8C"/>
    <w:rsid w:val="66AB5CCF"/>
    <w:rsid w:val="677C65AB"/>
    <w:rsid w:val="67F97372"/>
    <w:rsid w:val="698A6F34"/>
    <w:rsid w:val="6ADA17F5"/>
    <w:rsid w:val="6AF6662F"/>
    <w:rsid w:val="6B1E2D34"/>
    <w:rsid w:val="6B2D401B"/>
    <w:rsid w:val="6B755E39"/>
    <w:rsid w:val="6BCF6E80"/>
    <w:rsid w:val="6CA67BE1"/>
    <w:rsid w:val="6CC67FFB"/>
    <w:rsid w:val="6D056FFD"/>
    <w:rsid w:val="6D130984"/>
    <w:rsid w:val="6D6C2FFD"/>
    <w:rsid w:val="6E160D96"/>
    <w:rsid w:val="6E6978BE"/>
    <w:rsid w:val="6E8C4A5E"/>
    <w:rsid w:val="6F685621"/>
    <w:rsid w:val="6F887A72"/>
    <w:rsid w:val="6F8D0C47"/>
    <w:rsid w:val="6FD7BBD4"/>
    <w:rsid w:val="702C57BE"/>
    <w:rsid w:val="708C17E3"/>
    <w:rsid w:val="70C60851"/>
    <w:rsid w:val="70ED2282"/>
    <w:rsid w:val="71844269"/>
    <w:rsid w:val="71D92806"/>
    <w:rsid w:val="722021E3"/>
    <w:rsid w:val="722A2268"/>
    <w:rsid w:val="72B56DCF"/>
    <w:rsid w:val="73BF75DC"/>
    <w:rsid w:val="73EF7506"/>
    <w:rsid w:val="74DA48CB"/>
    <w:rsid w:val="74F55BA9"/>
    <w:rsid w:val="756B19C7"/>
    <w:rsid w:val="75846F2D"/>
    <w:rsid w:val="75ED062E"/>
    <w:rsid w:val="75ED4A7D"/>
    <w:rsid w:val="765A0676"/>
    <w:rsid w:val="76733229"/>
    <w:rsid w:val="778B45A3"/>
    <w:rsid w:val="7847671C"/>
    <w:rsid w:val="79D53188"/>
    <w:rsid w:val="7AB24BBE"/>
    <w:rsid w:val="7AC322A6"/>
    <w:rsid w:val="7C156B31"/>
    <w:rsid w:val="7C4C3713"/>
    <w:rsid w:val="7CBFCA73"/>
    <w:rsid w:val="7D404025"/>
    <w:rsid w:val="7DF6029C"/>
    <w:rsid w:val="7E7ED0B5"/>
    <w:rsid w:val="7E8D29AE"/>
    <w:rsid w:val="7EB73ECF"/>
    <w:rsid w:val="7ED204A7"/>
    <w:rsid w:val="7F1255A2"/>
    <w:rsid w:val="7F596D35"/>
    <w:rsid w:val="7F5E434B"/>
    <w:rsid w:val="7F9F3020"/>
    <w:rsid w:val="7FBE91E8"/>
    <w:rsid w:val="BFF71AC0"/>
    <w:rsid w:val="CFFF43CA"/>
    <w:rsid w:val="DFEDB858"/>
    <w:rsid w:val="F3FF85A7"/>
    <w:rsid w:val="F75D3FE9"/>
    <w:rsid w:val="F7E67291"/>
    <w:rsid w:val="F86F2B8C"/>
    <w:rsid w:val="F937CCF6"/>
    <w:rsid w:val="FC3FA34C"/>
    <w:rsid w:val="FFA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ind w:left="1596" w:hanging="969"/>
    </w:pPr>
  </w:style>
  <w:style w:type="paragraph" w:styleId="6">
    <w:name w:val="footer"/>
    <w:basedOn w:val="1"/>
    <w:qFormat/>
    <w:uiPriority w:val="99"/>
    <w:pPr>
      <w:tabs>
        <w:tab w:val="center" w:pos="4153"/>
        <w:tab w:val="right" w:pos="8306"/>
      </w:tabs>
      <w:snapToGrid w:val="0"/>
      <w:jc w:val="left"/>
    </w:pPr>
    <w:rPr>
      <w:rFonts w:ascii="Calibri" w:hAnsi="Calibri"/>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20"/>
    </w:rPr>
  </w:style>
  <w:style w:type="paragraph" w:styleId="8">
    <w:name w:val="Body Text 2"/>
    <w:basedOn w:val="1"/>
    <w:unhideWhenUsed/>
    <w:qFormat/>
    <w:uiPriority w:val="0"/>
    <w:pPr>
      <w:spacing w:after="120" w:line="480" w:lineRule="auto"/>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公1"/>
    <w:basedOn w:val="1"/>
    <w:qFormat/>
    <w:uiPriority w:val="0"/>
    <w:pPr>
      <w:ind w:firstLine="200" w:firstLineChars="200"/>
      <w:jc w:val="left"/>
    </w:pPr>
    <w:rPr>
      <w:rFonts w:eastAsia="仿宋"/>
    </w:rPr>
  </w:style>
  <w:style w:type="character" w:customStyle="1" w:styleId="15">
    <w:name w:val="UserStyle_0"/>
    <w:qFormat/>
    <w:uiPriority w:val="0"/>
    <w:rPr>
      <w:rFonts w:ascii="Times New Roman" w:hAnsi="Times New Roman" w:eastAsia="宋体"/>
      <w:kern w:val="2"/>
      <w:sz w:val="21"/>
      <w:lang w:val="en-US" w:eastAsia="zh-CN"/>
    </w:rPr>
  </w:style>
  <w:style w:type="paragraph" w:customStyle="1" w:styleId="16">
    <w:name w:val="Default"/>
    <w:qFormat/>
    <w:uiPriority w:val="0"/>
    <w:pPr>
      <w:widowControl w:val="0"/>
      <w:autoSpaceDE w:val="0"/>
      <w:autoSpaceDN w:val="0"/>
      <w:adjustRightInd w:val="0"/>
    </w:pPr>
    <w:rPr>
      <w:rFonts w:ascii="??_GB2312" w:hAnsi="Calibri" w:eastAsia="Times New Roman"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3417</Words>
  <Characters>3770</Characters>
  <Paragraphs>553</Paragraphs>
  <TotalTime>0</TotalTime>
  <ScaleCrop>false</ScaleCrop>
  <LinksUpToDate>false</LinksUpToDate>
  <CharactersWithSpaces>3770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2025-05-06T17:21:00Z</dcterms:created>
  <dc:creator>lenovo</dc:creator>
  <cp:lastModifiedBy>朱潇</cp:lastModifiedBy>
  <cp:lastPrinted>2025-06-16T17:19:00Z</cp:lastPrinted>
  <dcterms:modified xsi:type="dcterms:W3CDTF">2025-07-02T09:24:03Z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656E5C605228445C8F6F55BCF6DC9BCA_13</vt:lpwstr>
  </property>
</Properties>
</file>