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935D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国标黑体" w:hAnsi="国标黑体" w:eastAsia="国标黑体" w:cs="国标黑体"/>
          <w:b w:val="0"/>
          <w:bCs w:val="0"/>
          <w:sz w:val="32"/>
          <w:szCs w:val="32"/>
          <w:lang w:val="en-US" w:eastAsia="zh-CN"/>
        </w:rPr>
      </w:pPr>
      <w:r>
        <w:rPr>
          <w:rFonts w:hint="eastAsia" w:ascii="黑体" w:hAnsi="黑体" w:eastAsia="黑体" w:cs="黑体"/>
          <w:b w:val="0"/>
          <w:bCs w:val="0"/>
          <w:sz w:val="32"/>
          <w:szCs w:val="32"/>
          <w:lang w:val="en-US" w:eastAsia="zh-CN"/>
        </w:rPr>
        <w:t>附件</w:t>
      </w:r>
      <w:bookmarkStart w:id="0" w:name="_GoBack"/>
      <w:r>
        <w:rPr>
          <w:rFonts w:hint="default" w:ascii="Times New Roman" w:hAnsi="Times New Roman" w:eastAsia="国标黑体" w:cs="Times New Roman"/>
          <w:b w:val="0"/>
          <w:bCs w:val="0"/>
          <w:sz w:val="32"/>
          <w:szCs w:val="32"/>
          <w:lang w:val="en-US" w:eastAsia="zh-CN"/>
        </w:rPr>
        <w:t>29</w:t>
      </w:r>
      <w:bookmarkEnd w:id="0"/>
    </w:p>
    <w:p w14:paraId="32BB6C8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p>
    <w:p w14:paraId="0F05368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0"/>
          <w:szCs w:val="40"/>
          <w:lang w:eastAsia="zh-CN"/>
        </w:rPr>
      </w:pPr>
      <w:r>
        <w:rPr>
          <w:rFonts w:hint="default" w:ascii="Times New Roman" w:hAnsi="Times New Roman" w:eastAsia="方正小标宋简体" w:cs="Times New Roman"/>
          <w:b w:val="0"/>
          <w:bCs w:val="0"/>
          <w:sz w:val="40"/>
          <w:szCs w:val="40"/>
          <w:lang w:val="en-US" w:eastAsia="zh-CN"/>
        </w:rPr>
        <w:t>2025</w:t>
      </w:r>
      <w:r>
        <w:rPr>
          <w:rFonts w:hint="eastAsia" w:ascii="方正小标宋简体" w:hAnsi="方正小标宋简体" w:eastAsia="方正小标宋简体" w:cs="方正小标宋简体"/>
          <w:b w:val="0"/>
          <w:bCs w:val="0"/>
          <w:sz w:val="40"/>
          <w:szCs w:val="40"/>
          <w:lang w:val="en-US" w:eastAsia="zh-CN"/>
        </w:rPr>
        <w:t>年中央</w:t>
      </w:r>
      <w:r>
        <w:rPr>
          <w:rFonts w:hint="eastAsia" w:ascii="方正小标宋简体" w:hAnsi="方正小标宋简体" w:eastAsia="方正小标宋简体" w:cs="方正小标宋简体"/>
          <w:b w:val="0"/>
          <w:bCs w:val="0"/>
          <w:sz w:val="40"/>
          <w:szCs w:val="40"/>
          <w:lang w:eastAsia="zh-CN"/>
        </w:rPr>
        <w:t>农业产业发展资金</w:t>
      </w:r>
    </w:p>
    <w:p w14:paraId="6C91132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（水产品加工和冷藏保鲜等设施设备建设）</w:t>
      </w:r>
    </w:p>
    <w:p w14:paraId="681AB6E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40"/>
          <w:szCs w:val="40"/>
          <w:lang w:eastAsia="zh-CN"/>
        </w:rPr>
      </w:pPr>
      <w:r>
        <w:rPr>
          <w:rFonts w:hint="eastAsia" w:ascii="方正小标宋简体" w:hAnsi="方正小标宋简体" w:eastAsia="方正小标宋简体" w:cs="方正小标宋简体"/>
          <w:sz w:val="40"/>
          <w:szCs w:val="40"/>
          <w:lang w:val="en-US" w:eastAsia="zh-CN"/>
        </w:rPr>
        <w:t>项目</w:t>
      </w:r>
      <w:r>
        <w:rPr>
          <w:rFonts w:hint="eastAsia" w:ascii="方正小标宋简体" w:hAnsi="方正小标宋简体" w:eastAsia="方正小标宋简体" w:cs="方正小标宋简体"/>
          <w:bCs/>
          <w:sz w:val="40"/>
          <w:szCs w:val="40"/>
          <w:lang w:eastAsia="zh-CN"/>
        </w:rPr>
        <w:t>实施方案（</w:t>
      </w:r>
      <w:r>
        <w:rPr>
          <w:rFonts w:hint="eastAsia" w:ascii="方正小标宋简体" w:hAnsi="方正小标宋简体" w:eastAsia="方正小标宋简体" w:cs="方正小标宋简体"/>
          <w:bCs/>
          <w:sz w:val="40"/>
          <w:szCs w:val="40"/>
          <w:lang w:val="en-US" w:eastAsia="zh-CN"/>
        </w:rPr>
        <w:t>指南</w:t>
      </w:r>
      <w:r>
        <w:rPr>
          <w:rFonts w:hint="eastAsia" w:ascii="方正小标宋简体" w:hAnsi="方正小标宋简体" w:eastAsia="方正小标宋简体" w:cs="方正小标宋简体"/>
          <w:bCs/>
          <w:sz w:val="40"/>
          <w:szCs w:val="40"/>
          <w:lang w:eastAsia="zh-CN"/>
        </w:rPr>
        <w:t>）</w:t>
      </w:r>
    </w:p>
    <w:p w14:paraId="3DED4561">
      <w:pPr>
        <w:pStyle w:val="15"/>
        <w:keepNext w:val="0"/>
        <w:keepLines w:val="0"/>
        <w:pageBreakBefore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仿宋" w:cs="Times New Roman"/>
          <w:sz w:val="32"/>
          <w:szCs w:val="32"/>
          <w:lang w:eastAsia="zh-CN"/>
        </w:rPr>
      </w:pPr>
    </w:p>
    <w:p w14:paraId="5F22C45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财政部、农业农村部关于印发农业相关转移支付资金管理办法的通知》</w:t>
      </w:r>
      <w:r>
        <w:rPr>
          <w:rFonts w:hint="default" w:ascii="Times New Roman" w:hAnsi="Times New Roman" w:eastAsia="仿宋_GB2312" w:cs="Times New Roman"/>
          <w:sz w:val="32"/>
          <w:szCs w:val="32"/>
        </w:rPr>
        <w:t>（财农〔202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、《财政部关于下达</w:t>
      </w:r>
      <w:r>
        <w:rPr>
          <w:rFonts w:hint="default" w:ascii="Times New Roman" w:hAnsi="Times New Roman" w:eastAsia="仿宋_GB2312" w:cs="Times New Roman"/>
          <w:sz w:val="32"/>
          <w:szCs w:val="32"/>
          <w:lang w:val="en-US" w:eastAsia="zh-CN"/>
        </w:rPr>
        <w:t>2025年农业产业发展资金预算的通知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财农〔202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）、《农业农村部</w:t>
      </w:r>
      <w:r>
        <w:rPr>
          <w:rFonts w:hint="default" w:ascii="Times New Roman" w:hAnsi="Times New Roman" w:eastAsia="仿宋_GB2312" w:cs="Times New Roman"/>
          <w:sz w:val="32"/>
          <w:szCs w:val="32"/>
          <w:lang w:val="en-US" w:eastAsia="zh-CN"/>
        </w:rPr>
        <w:t xml:space="preserve"> 财政部关于做好2025年粮油生产保障等项目实施工作的通知</w:t>
      </w:r>
      <w:r>
        <w:rPr>
          <w:rFonts w:hint="default" w:ascii="Times New Roman" w:hAnsi="Times New Roman" w:eastAsia="仿宋_GB2312" w:cs="Times New Roman"/>
          <w:sz w:val="32"/>
          <w:szCs w:val="32"/>
          <w:lang w:eastAsia="zh-CN"/>
        </w:rPr>
        <w:t>》（农计</w:t>
      </w:r>
      <w:r>
        <w:rPr>
          <w:rFonts w:hint="default" w:ascii="Times New Roman" w:hAnsi="Times New Roman" w:eastAsia="仿宋_GB2312" w:cs="Times New Roman"/>
          <w:sz w:val="32"/>
          <w:szCs w:val="32"/>
        </w:rPr>
        <w:t>财</w:t>
      </w:r>
      <w:r>
        <w:rPr>
          <w:rFonts w:hint="default" w:ascii="Times New Roman" w:hAnsi="Times New Roman" w:eastAsia="仿宋_GB2312" w:cs="Times New Roman"/>
          <w:sz w:val="32"/>
          <w:szCs w:val="32"/>
          <w:lang w:eastAsia="zh-CN"/>
        </w:rPr>
        <w:t>发</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）要求，结合工作任务和绩效目标，制定</w:t>
      </w:r>
      <w:r>
        <w:rPr>
          <w:rFonts w:hint="default" w:ascii="Times New Roman" w:hAnsi="Times New Roman" w:eastAsia="仿宋_GB2312" w:cs="Times New Roman"/>
          <w:b w:val="0"/>
          <w:bCs w:val="0"/>
          <w:sz w:val="32"/>
          <w:szCs w:val="32"/>
          <w:lang w:val="en-US" w:eastAsia="zh-CN"/>
        </w:rPr>
        <w:t>2025年</w:t>
      </w:r>
      <w:r>
        <w:rPr>
          <w:rFonts w:hint="default" w:ascii="Times New Roman" w:hAnsi="Times New Roman" w:eastAsia="仿宋_GB2312" w:cs="Times New Roman"/>
          <w:b w:val="0"/>
          <w:bCs w:val="0"/>
          <w:sz w:val="32"/>
          <w:szCs w:val="32"/>
          <w:lang w:eastAsia="zh-CN"/>
        </w:rPr>
        <w:t>农业产业发展</w:t>
      </w:r>
      <w:r>
        <w:rPr>
          <w:rFonts w:hint="default" w:ascii="Times New Roman" w:hAnsi="Times New Roman" w:eastAsia="仿宋_GB2312" w:cs="Times New Roman"/>
          <w:sz w:val="32"/>
          <w:szCs w:val="32"/>
          <w:lang w:val="en-US" w:eastAsia="zh-CN"/>
        </w:rPr>
        <w:t>水产品加工和冷藏保鲜等设施设备建设</w:t>
      </w:r>
      <w:r>
        <w:rPr>
          <w:rFonts w:hint="default" w:ascii="Times New Roman" w:hAnsi="Times New Roman" w:eastAsia="仿宋_GB2312" w:cs="Times New Roman"/>
          <w:bCs/>
          <w:sz w:val="32"/>
          <w:szCs w:val="32"/>
          <w:lang w:eastAsia="zh-CN"/>
        </w:rPr>
        <w:t>项目实施方案。</w:t>
      </w:r>
    </w:p>
    <w:p w14:paraId="05B6251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黑体" w:cs="Times New Roman"/>
          <w:bCs/>
          <w:sz w:val="32"/>
          <w:szCs w:val="32"/>
          <w:lang w:eastAsia="zh-CN"/>
        </w:rPr>
      </w:pPr>
      <w:r>
        <w:rPr>
          <w:rFonts w:hint="default" w:ascii="Times New Roman" w:hAnsi="Times New Roman" w:eastAsia="黑体" w:cs="Times New Roman"/>
          <w:bCs/>
          <w:sz w:val="32"/>
          <w:szCs w:val="32"/>
          <w:lang w:eastAsia="zh-CN"/>
        </w:rPr>
        <w:t>一、绩效目标</w:t>
      </w:r>
    </w:p>
    <w:p w14:paraId="12ECFE11">
      <w:pPr>
        <w:pStyle w:val="14"/>
        <w:keepNext w:val="0"/>
        <w:keepLines w:val="0"/>
        <w:pageBreakBefore w:val="0"/>
        <w:widowControl w:val="0"/>
        <w:numPr>
          <w:ilvl w:val="0"/>
          <w:numId w:val="0"/>
        </w:numPr>
        <w:kinsoku/>
        <w:wordWrap/>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sz w:val="32"/>
          <w:szCs w:val="32"/>
          <w:lang w:val="en-US" w:eastAsia="zh-CN"/>
        </w:rPr>
        <w:t>设定数量指标、服务对象满意度指标。其中数量指标为水产品初加工和冷藏保鲜等设施设备12（套/台），</w:t>
      </w:r>
      <w:r>
        <w:rPr>
          <w:rFonts w:hint="default" w:ascii="Times New Roman" w:hAnsi="Times New Roman" w:eastAsia="仿宋_GB2312" w:cs="Times New Roman"/>
          <w:b w:val="0"/>
          <w:bCs w:val="0"/>
          <w:color w:val="auto"/>
          <w:sz w:val="32"/>
          <w:szCs w:val="32"/>
          <w:u w:val="none"/>
          <w:lang w:val="en-US" w:eastAsia="zh-CN"/>
        </w:rPr>
        <w:t>服务对象满意度指标为服务对象对中央财政补助经费使用情况的满意度≥90%。</w:t>
      </w:r>
    </w:p>
    <w:p w14:paraId="7BF7D7D6">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lang w:val="en-US" w:eastAsia="zh-CN"/>
        </w:rPr>
        <w:t>实施条件</w:t>
      </w:r>
    </w:p>
    <w:p w14:paraId="6F86F9DD">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支持有条件的企业提升现代渔业设施设备水平。</w:t>
      </w:r>
    </w:p>
    <w:p w14:paraId="76B55878">
      <w:pPr>
        <w:keepNext w:val="0"/>
        <w:keepLines w:val="0"/>
        <w:pageBreakBefore w:val="0"/>
        <w:numPr>
          <w:ilvl w:val="0"/>
          <w:numId w:val="0"/>
        </w:numPr>
        <w:kinsoku/>
        <w:wordWrap/>
        <w:overflowPunct/>
        <w:topLinePunct w:val="0"/>
        <w:autoSpaceDE/>
        <w:autoSpaceDN/>
        <w:bidi w:val="0"/>
        <w:adjustRightInd/>
        <w:snapToGrid/>
        <w:spacing w:line="600" w:lineRule="exact"/>
        <w:ind w:left="645" w:leftChars="0" w:right="0" w:rightChars="0"/>
        <w:jc w:val="both"/>
        <w:textAlignment w:val="auto"/>
        <w:outlineLvl w:val="9"/>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lang w:val="en-US" w:eastAsia="zh-CN"/>
        </w:rPr>
        <w:t>支持对象</w:t>
      </w:r>
    </w:p>
    <w:p w14:paraId="2EB916D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支持靖宇县内从事水产品加工的企业。</w:t>
      </w:r>
    </w:p>
    <w:p w14:paraId="3E1F56D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5" w:leftChars="0" w:right="0" w:rightChars="0"/>
        <w:jc w:val="both"/>
        <w:textAlignment w:val="auto"/>
        <w:outlineLvl w:val="9"/>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lang w:val="en-US" w:eastAsia="zh-CN"/>
        </w:rPr>
        <w:t>支持标准</w:t>
      </w:r>
    </w:p>
    <w:p w14:paraId="022B5833">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项目采取先建后补方式，补助资金211万元。</w:t>
      </w:r>
    </w:p>
    <w:p w14:paraId="77F9D9D4">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国标黑体" w:hAnsi="国标黑体" w:eastAsia="国标黑体" w:cs="国标黑体"/>
          <w:sz w:val="32"/>
          <w:szCs w:val="32"/>
          <w:lang w:val="en-US" w:eastAsia="zh-CN"/>
        </w:rPr>
        <w:t>五、实施要求</w:t>
      </w:r>
    </w:p>
    <w:p w14:paraId="0DFCF0F9">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（一）</w:t>
      </w:r>
      <w:r>
        <w:rPr>
          <w:rFonts w:hint="eastAsia" w:ascii="楷体_GB2312" w:hAnsi="楷体_GB2312" w:eastAsia="楷体_GB2312" w:cs="楷体_GB2312"/>
          <w:sz w:val="32"/>
          <w:szCs w:val="32"/>
        </w:rPr>
        <w:t>制定</w:t>
      </w:r>
      <w:r>
        <w:rPr>
          <w:rFonts w:hint="eastAsia" w:ascii="楷体_GB2312" w:hAnsi="楷体_GB2312" w:eastAsia="楷体_GB2312" w:cs="楷体_GB2312"/>
          <w:sz w:val="32"/>
          <w:szCs w:val="32"/>
          <w:lang w:eastAsia="zh-CN"/>
        </w:rPr>
        <w:t>项目实施</w:t>
      </w:r>
      <w:r>
        <w:rPr>
          <w:rFonts w:hint="eastAsia" w:ascii="楷体_GB2312" w:hAnsi="楷体_GB2312" w:eastAsia="楷体_GB2312" w:cs="楷体_GB2312"/>
          <w:sz w:val="32"/>
          <w:szCs w:val="32"/>
        </w:rPr>
        <w:t>方案</w:t>
      </w:r>
    </w:p>
    <w:p w14:paraId="577C1EFD">
      <w:pPr>
        <w:rPr>
          <w:rFonts w:hint="default" w:ascii="Times New Roman" w:hAnsi="Times New Roman" w:eastAsia="仿宋_GB2312" w:cs="Times New Roman"/>
          <w:color w:val="000000"/>
          <w:sz w:val="32"/>
          <w:szCs w:val="32"/>
          <w:lang w:val="en-US" w:eastAsia="zh-CN"/>
        </w:rPr>
      </w:pPr>
      <w:r>
        <w:rPr>
          <w:rFonts w:hint="eastAsia" w:ascii="仿宋_GB2312" w:hAnsi="仿宋_GB2312" w:eastAsia="仿宋_GB2312" w:cs="仿宋_GB2312"/>
          <w:sz w:val="32"/>
          <w:szCs w:val="32"/>
          <w:lang w:val="en-US" w:eastAsia="zh-CN"/>
        </w:rPr>
        <w:t>　　靖宇县渔业发展服务中心</w:t>
      </w:r>
      <w:r>
        <w:rPr>
          <w:rFonts w:hint="eastAsia" w:ascii="仿宋_GB2312" w:hAnsi="仿宋_GB2312" w:eastAsia="仿宋_GB2312" w:cs="仿宋_GB2312"/>
          <w:sz w:val="32"/>
          <w:szCs w:val="32"/>
          <w:lang w:eastAsia="zh-CN"/>
        </w:rPr>
        <w:t>指导项</w:t>
      </w:r>
      <w:r>
        <w:rPr>
          <w:rFonts w:hint="default" w:ascii="Times New Roman" w:hAnsi="Times New Roman" w:eastAsia="仿宋_GB2312" w:cs="Times New Roman"/>
          <w:color w:val="000000"/>
          <w:sz w:val="32"/>
          <w:szCs w:val="32"/>
          <w:lang w:eastAsia="zh-CN"/>
        </w:rPr>
        <w:t>目建设单位编制实施方案，</w:t>
      </w:r>
      <w:r>
        <w:rPr>
          <w:rFonts w:hint="default" w:ascii="Times New Roman" w:hAnsi="Times New Roman" w:eastAsia="仿宋_GB2312" w:cs="Times New Roman"/>
          <w:color w:val="000000"/>
          <w:sz w:val="32"/>
          <w:szCs w:val="32"/>
          <w:lang w:val="en-US" w:eastAsia="zh-CN"/>
        </w:rPr>
        <w:t>项目实施</w:t>
      </w:r>
      <w:r>
        <w:rPr>
          <w:rFonts w:hint="default" w:ascii="Times New Roman" w:hAnsi="Times New Roman" w:eastAsia="仿宋_GB2312" w:cs="Times New Roman"/>
          <w:color w:val="000000"/>
          <w:sz w:val="32"/>
          <w:szCs w:val="32"/>
        </w:rPr>
        <w:t>方案</w:t>
      </w:r>
      <w:r>
        <w:rPr>
          <w:rFonts w:hint="default" w:ascii="Times New Roman" w:hAnsi="Times New Roman" w:eastAsia="仿宋_GB2312" w:cs="Times New Roman"/>
          <w:color w:val="000000"/>
          <w:sz w:val="32"/>
          <w:szCs w:val="32"/>
          <w:lang w:eastAsia="zh-CN"/>
        </w:rPr>
        <w:t>应包含以下内容</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sz w:val="32"/>
          <w:szCs w:val="32"/>
        </w:rPr>
        <w:t>项目单位基本情况；项目基本情况</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包括项目名称、建设内容、建设规模及标准、总投资及申请补助资金额度、建设期限、建设条件落实情况等</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；项目组织实施情况</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包括组织管理、</w:t>
      </w:r>
      <w:r>
        <w:rPr>
          <w:rFonts w:hint="default" w:ascii="Times New Roman" w:hAnsi="Times New Roman" w:eastAsia="仿宋_GB2312" w:cs="Times New Roman"/>
          <w:sz w:val="32"/>
          <w:szCs w:val="32"/>
          <w:lang w:eastAsia="zh-CN"/>
        </w:rPr>
        <w:t>财务管理、招投标管理、</w:t>
      </w:r>
      <w:r>
        <w:rPr>
          <w:rFonts w:hint="default" w:ascii="Times New Roman" w:hAnsi="Times New Roman" w:eastAsia="仿宋_GB2312" w:cs="Times New Roman"/>
          <w:sz w:val="32"/>
          <w:szCs w:val="32"/>
        </w:rPr>
        <w:t>保障措施</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；必要的附件、附表和附图</w:t>
      </w:r>
      <w:r>
        <w:rPr>
          <w:rFonts w:hint="default" w:ascii="Times New Roman" w:hAnsi="Times New Roman" w:eastAsia="仿宋_GB2312" w:cs="Times New Roman"/>
          <w:sz w:val="32"/>
          <w:szCs w:val="32"/>
          <w:lang w:eastAsia="zh-CN"/>
        </w:rPr>
        <w:t>。</w:t>
      </w:r>
    </w:p>
    <w:p w14:paraId="698C67B2">
      <w:pPr>
        <w:pStyle w:val="14"/>
        <w:spacing w:line="600" w:lineRule="exact"/>
        <w:ind w:firstLine="645"/>
        <w:rPr>
          <w:rFonts w:hint="default" w:ascii="Times New Roman" w:hAnsi="Times New Roman" w:eastAsia="楷体_GB2312" w:cs="Times New Roman"/>
          <w:color w:val="000000"/>
          <w:sz w:val="32"/>
          <w:szCs w:val="32"/>
          <w:lang w:val="en-US" w:eastAsia="zh-CN"/>
        </w:rPr>
      </w:pPr>
      <w:r>
        <w:rPr>
          <w:rFonts w:hint="default" w:ascii="Times New Roman" w:hAnsi="Times New Roman" w:eastAsia="楷体_GB2312" w:cs="Times New Roman"/>
          <w:color w:val="000000"/>
          <w:sz w:val="32"/>
          <w:szCs w:val="32"/>
          <w:lang w:val="en-US" w:eastAsia="zh-CN"/>
        </w:rPr>
        <w:t>（二）实施方案批复</w:t>
      </w:r>
    </w:p>
    <w:p w14:paraId="65EFA239">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靖宇县渔业发展服务中心对实施方案进行批复，并将批复后的实施方案报省农业农村厅渔业渔政管理局。</w:t>
      </w:r>
    </w:p>
    <w:p w14:paraId="5DC9983C">
      <w:pPr>
        <w:numPr>
          <w:ilvl w:val="0"/>
          <w:numId w:val="0"/>
        </w:numPr>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　　（三）</w:t>
      </w:r>
      <w:r>
        <w:rPr>
          <w:rFonts w:hint="default" w:ascii="Times New Roman" w:hAnsi="Times New Roman" w:eastAsia="楷体_GB2312" w:cs="Times New Roman"/>
          <w:sz w:val="32"/>
          <w:szCs w:val="32"/>
          <w:lang w:val="en-US" w:eastAsia="zh-CN"/>
        </w:rPr>
        <w:t>项目建设</w:t>
      </w:r>
    </w:p>
    <w:p w14:paraId="2EA9623E">
      <w:pPr>
        <w:numPr>
          <w:ilvl w:val="0"/>
          <w:numId w:val="0"/>
        </w:numPr>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sz w:val="32"/>
          <w:szCs w:val="32"/>
          <w:lang w:val="en-US" w:eastAsia="zh-CN"/>
        </w:rPr>
        <w:t>督促项目单位</w:t>
      </w:r>
      <w:r>
        <w:rPr>
          <w:rFonts w:hint="default" w:ascii="Times New Roman" w:hAnsi="Times New Roman" w:eastAsia="仿宋_GB2312" w:cs="Times New Roman"/>
          <w:color w:val="000000"/>
          <w:sz w:val="32"/>
          <w:szCs w:val="32"/>
        </w:rPr>
        <w:t>按照批准的项目内容组织实施</w:t>
      </w:r>
      <w:r>
        <w:rPr>
          <w:rFonts w:hint="default" w:ascii="Times New Roman" w:hAnsi="Times New Roman" w:eastAsia="仿宋_GB2312" w:cs="Times New Roman"/>
          <w:color w:val="000000"/>
          <w:sz w:val="32"/>
          <w:szCs w:val="32"/>
          <w:lang w:eastAsia="zh-CN"/>
        </w:rPr>
        <w:t>水产品加工项目</w:t>
      </w:r>
      <w:r>
        <w:rPr>
          <w:rFonts w:hint="default" w:ascii="Times New Roman" w:hAnsi="Times New Roman" w:eastAsia="仿宋_GB2312" w:cs="Times New Roman"/>
          <w:color w:val="000000"/>
          <w:sz w:val="32"/>
          <w:szCs w:val="32"/>
        </w:rPr>
        <w:t>，不得随意变更项目建设地点、建设内容、建设规模、建设标准、拖延建设工期。因建设条件发生变化确需调整的，应按有关规定履行审批程序，经批准后方可实施。</w:t>
      </w:r>
    </w:p>
    <w:p w14:paraId="58E8290C">
      <w:pPr>
        <w:pStyle w:val="10"/>
        <w:keepNext w:val="0"/>
        <w:keepLines w:val="0"/>
        <w:pageBreakBefore w:val="0"/>
        <w:numPr>
          <w:ilvl w:val="0"/>
          <w:numId w:val="0"/>
        </w:numPr>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textAlignment w:val="auto"/>
        <w:outlineLvl w:val="9"/>
        <w:rPr>
          <w:rFonts w:hint="default" w:ascii="Times New Roman" w:hAnsi="Times New Roman" w:eastAsia="楷体_GB2312" w:cs="Times New Roman"/>
          <w:color w:val="000000"/>
          <w:sz w:val="32"/>
          <w:szCs w:val="32"/>
          <w:lang w:eastAsia="zh-CN"/>
        </w:rPr>
      </w:pPr>
      <w:r>
        <w:rPr>
          <w:rFonts w:hint="default" w:ascii="Times New Roman" w:hAnsi="Times New Roman" w:eastAsia="楷体_GB2312" w:cs="Times New Roman"/>
          <w:color w:val="000000"/>
          <w:sz w:val="32"/>
          <w:szCs w:val="32"/>
          <w:lang w:eastAsia="zh-CN"/>
        </w:rPr>
        <w:t>（四）项目验收</w:t>
      </w:r>
    </w:p>
    <w:p w14:paraId="4E5E791A">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lang w:val="en-US" w:eastAsia="zh-CN"/>
        </w:rPr>
        <w:t>靖宇县渔业发展服务中心</w:t>
      </w:r>
      <w:r>
        <w:rPr>
          <w:rFonts w:hint="default" w:ascii="Times New Roman" w:hAnsi="Times New Roman" w:eastAsia="仿宋_GB2312" w:cs="Times New Roman"/>
          <w:color w:val="000000"/>
          <w:sz w:val="32"/>
          <w:szCs w:val="32"/>
        </w:rPr>
        <w:t>组织验收</w:t>
      </w:r>
      <w:r>
        <w:rPr>
          <w:rFonts w:hint="default" w:ascii="Times New Roman" w:hAnsi="Times New Roman" w:eastAsia="仿宋_GB2312" w:cs="Times New Roman"/>
          <w:color w:val="000000"/>
          <w:sz w:val="32"/>
          <w:szCs w:val="32"/>
          <w:lang w:eastAsia="zh-CN"/>
        </w:rPr>
        <w:t>，验收须组成专家组，由有关工程、财务等专家组成</w:t>
      </w:r>
      <w:r>
        <w:rPr>
          <w:rFonts w:hint="default" w:ascii="Times New Roman" w:hAnsi="Times New Roman" w:eastAsia="仿宋_GB2312" w:cs="Times New Roman"/>
          <w:color w:val="000000"/>
          <w:sz w:val="32"/>
          <w:szCs w:val="32"/>
        </w:rPr>
        <w:t>。</w:t>
      </w:r>
    </w:p>
    <w:p w14:paraId="20DF2C36">
      <w:pPr>
        <w:pStyle w:val="14"/>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（五）项目</w:t>
      </w:r>
      <w:r>
        <w:rPr>
          <w:rFonts w:hint="default" w:ascii="Times New Roman" w:hAnsi="Times New Roman" w:eastAsia="楷体_GB2312" w:cs="Times New Roman"/>
          <w:sz w:val="32"/>
          <w:szCs w:val="32"/>
        </w:rPr>
        <w:t>总结</w:t>
      </w:r>
    </w:p>
    <w:p w14:paraId="2DF4E6E5">
      <w:pPr>
        <w:pStyle w:val="10"/>
        <w:keepNext w:val="0"/>
        <w:keepLines w:val="0"/>
        <w:pageBreakBefore w:val="0"/>
        <w:numPr>
          <w:ilvl w:val="0"/>
          <w:numId w:val="0"/>
        </w:numPr>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lang w:eastAsia="zh-CN"/>
        </w:rPr>
        <w:t>实施完成并通过验收后，靖宇县</w:t>
      </w:r>
      <w:r>
        <w:rPr>
          <w:rFonts w:hint="eastAsia" w:ascii="Times New Roman" w:hAnsi="Times New Roman" w:eastAsia="仿宋_GB2312" w:cs="Times New Roman"/>
          <w:sz w:val="32"/>
          <w:szCs w:val="32"/>
          <w:lang w:eastAsia="zh-CN"/>
        </w:rPr>
        <w:t>渔业发展服务中心</w:t>
      </w:r>
      <w:r>
        <w:rPr>
          <w:rFonts w:hint="default" w:ascii="Times New Roman" w:hAnsi="Times New Roman" w:eastAsia="仿宋_GB2312" w:cs="Times New Roman"/>
          <w:sz w:val="32"/>
          <w:szCs w:val="32"/>
          <w:lang w:eastAsia="zh-CN"/>
        </w:rPr>
        <w:t>组织项目单位对项目总体情况、</w:t>
      </w:r>
      <w:r>
        <w:rPr>
          <w:rFonts w:hint="default" w:ascii="Times New Roman" w:hAnsi="Times New Roman" w:eastAsia="仿宋_GB2312" w:cs="Times New Roman"/>
          <w:sz w:val="32"/>
          <w:szCs w:val="32"/>
        </w:rPr>
        <w:t>实施方案执行情况、资金使用情况</w:t>
      </w:r>
      <w:r>
        <w:rPr>
          <w:rFonts w:hint="default" w:ascii="Times New Roman" w:hAnsi="Times New Roman" w:eastAsia="仿宋_GB2312" w:cs="Times New Roman"/>
          <w:sz w:val="32"/>
          <w:szCs w:val="32"/>
          <w:lang w:eastAsia="zh-CN"/>
        </w:rPr>
        <w:t>、绩效目标完成情况</w:t>
      </w:r>
      <w:r>
        <w:rPr>
          <w:rFonts w:hint="default" w:ascii="Times New Roman" w:hAnsi="Times New Roman" w:eastAsia="仿宋_GB2312" w:cs="Times New Roman"/>
          <w:sz w:val="32"/>
          <w:szCs w:val="32"/>
        </w:rPr>
        <w:t>及补助资金发挥成效</w:t>
      </w:r>
      <w:r>
        <w:rPr>
          <w:rFonts w:hint="default" w:ascii="Times New Roman" w:hAnsi="Times New Roman" w:eastAsia="仿宋_GB2312" w:cs="Times New Roman"/>
          <w:sz w:val="32"/>
          <w:szCs w:val="32"/>
          <w:lang w:eastAsia="zh-CN"/>
        </w:rPr>
        <w:t>、验收情况</w:t>
      </w:r>
      <w:r>
        <w:rPr>
          <w:rFonts w:hint="default" w:ascii="Times New Roman" w:hAnsi="Times New Roman" w:eastAsia="仿宋_GB2312" w:cs="Times New Roman"/>
          <w:sz w:val="32"/>
          <w:szCs w:val="32"/>
        </w:rPr>
        <w:t>等进行全面总结</w:t>
      </w:r>
      <w:r>
        <w:rPr>
          <w:rFonts w:hint="default" w:ascii="Times New Roman" w:hAnsi="Times New Roman" w:eastAsia="仿宋_GB2312" w:cs="Times New Roman"/>
          <w:sz w:val="32"/>
          <w:szCs w:val="32"/>
          <w:lang w:eastAsia="zh-CN"/>
        </w:rPr>
        <w:t>，形成总结材料，与项目相关文件资料等装订成册</w:t>
      </w:r>
      <w:r>
        <w:rPr>
          <w:rFonts w:hint="default" w:ascii="Times New Roman" w:hAnsi="Times New Roman" w:eastAsia="仿宋_GB2312" w:cs="Times New Roman"/>
          <w:sz w:val="32"/>
          <w:szCs w:val="32"/>
        </w:rPr>
        <w:t>报省</w:t>
      </w:r>
      <w:r>
        <w:rPr>
          <w:rFonts w:hint="default" w:ascii="Times New Roman" w:hAnsi="Times New Roman" w:eastAsia="仿宋_GB2312" w:cs="Times New Roman"/>
          <w:sz w:val="32"/>
          <w:szCs w:val="32"/>
          <w:lang w:eastAsia="zh-CN"/>
        </w:rPr>
        <w:t>农业农村厅渔业渔政管理局</w:t>
      </w:r>
      <w:r>
        <w:rPr>
          <w:rFonts w:hint="default" w:ascii="Times New Roman" w:hAnsi="Times New Roman" w:eastAsia="仿宋_GB2312" w:cs="Times New Roman"/>
          <w:sz w:val="32"/>
          <w:szCs w:val="32"/>
        </w:rPr>
        <w:t>。</w:t>
      </w:r>
    </w:p>
    <w:p w14:paraId="02515A00">
      <w:pPr>
        <w:pStyle w:val="10"/>
        <w:keepNext w:val="0"/>
        <w:keepLines w:val="0"/>
        <w:pageBreakBefore w:val="0"/>
        <w:numPr>
          <w:ilvl w:val="0"/>
          <w:numId w:val="0"/>
        </w:numPr>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textAlignment w:val="auto"/>
        <w:outlineLvl w:val="9"/>
        <w:rPr>
          <w:rFonts w:hint="default" w:ascii="Times New Roman" w:hAnsi="Times New Roman" w:eastAsia="黑体" w:cs="Times New Roman"/>
          <w:color w:val="000000"/>
          <w:sz w:val="32"/>
          <w:szCs w:val="32"/>
          <w:lang w:eastAsia="zh-CN"/>
        </w:rPr>
      </w:pPr>
      <w:r>
        <w:rPr>
          <w:rFonts w:hint="eastAsia" w:ascii="Times New Roman" w:hAnsi="Times New Roman" w:eastAsia="黑体" w:cs="Times New Roman"/>
          <w:color w:val="000000"/>
          <w:sz w:val="32"/>
          <w:szCs w:val="32"/>
          <w:lang w:eastAsia="zh-CN"/>
        </w:rPr>
        <w:t>六</w:t>
      </w:r>
      <w:r>
        <w:rPr>
          <w:rFonts w:hint="default" w:ascii="Times New Roman" w:hAnsi="Times New Roman" w:eastAsia="黑体" w:cs="Times New Roman"/>
          <w:color w:val="000000"/>
          <w:sz w:val="32"/>
          <w:szCs w:val="32"/>
          <w:lang w:eastAsia="zh-CN"/>
        </w:rPr>
        <w:t>、监管措施</w:t>
      </w:r>
    </w:p>
    <w:p w14:paraId="2F23AA7B">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lang w:val="en-US" w:eastAsia="zh-CN"/>
        </w:rPr>
        <w:t>靖宇县渔业发展服务中心</w:t>
      </w:r>
      <w:r>
        <w:rPr>
          <w:rFonts w:hint="default" w:ascii="Times New Roman" w:hAnsi="Times New Roman" w:eastAsia="仿宋_GB2312" w:cs="Times New Roman"/>
          <w:color w:val="000000"/>
          <w:sz w:val="32"/>
          <w:szCs w:val="32"/>
          <w:lang w:eastAsia="zh-CN"/>
        </w:rPr>
        <w:t>负责对水产品加工和冷藏设施设备建设项目实施进行全过程监管。要加强对项目单位资金管理，</w:t>
      </w:r>
      <w:r>
        <w:rPr>
          <w:rFonts w:hint="default" w:ascii="Times New Roman" w:hAnsi="Times New Roman" w:eastAsia="仿宋_GB2312" w:cs="Times New Roman"/>
          <w:sz w:val="32"/>
          <w:szCs w:val="32"/>
          <w:lang w:eastAsia="zh-CN"/>
        </w:rPr>
        <w:t>不得擅自调整补助资金使用范围和项目计划，</w:t>
      </w:r>
      <w:r>
        <w:rPr>
          <w:rFonts w:hint="eastAsia" w:ascii="Times New Roman" w:hAnsi="Times New Roman" w:eastAsia="仿宋_GB2312" w:cs="Times New Roman"/>
          <w:sz w:val="32"/>
          <w:szCs w:val="32"/>
          <w:lang w:eastAsia="zh-CN"/>
        </w:rPr>
        <w:t>不得</w:t>
      </w:r>
      <w:r>
        <w:rPr>
          <w:rFonts w:hint="default" w:ascii="Times New Roman" w:hAnsi="Times New Roman" w:eastAsia="仿宋_GB2312" w:cs="Times New Roman"/>
          <w:sz w:val="32"/>
          <w:szCs w:val="32"/>
          <w:lang w:eastAsia="zh-CN"/>
        </w:rPr>
        <w:t>扩大开支范围。</w:t>
      </w:r>
      <w:r>
        <w:rPr>
          <w:rFonts w:hint="default" w:ascii="Times New Roman" w:hAnsi="Times New Roman" w:eastAsia="仿宋_GB2312" w:cs="Times New Roman"/>
          <w:color w:val="000000"/>
          <w:sz w:val="32"/>
          <w:szCs w:val="32"/>
        </w:rPr>
        <w:t>不得挪用、截留、串用专项资金，做到建设资金单独核算，专款专用。</w:t>
      </w:r>
    </w:p>
    <w:p w14:paraId="787CA429">
      <w:pPr>
        <w:pStyle w:val="10"/>
        <w:keepNext w:val="0"/>
        <w:keepLines w:val="0"/>
        <w:pageBreakBefore w:val="0"/>
        <w:numPr>
          <w:ilvl w:val="0"/>
          <w:numId w:val="0"/>
        </w:numPr>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联系人及电话：赵波</w:t>
      </w:r>
      <w:r>
        <w:rPr>
          <w:rFonts w:hint="default" w:ascii="Times New Roman" w:hAnsi="Times New Roman" w:eastAsia="仿宋_GB2312" w:cs="Times New Roman"/>
          <w:sz w:val="32"/>
          <w:szCs w:val="32"/>
          <w:lang w:val="en-US" w:eastAsia="zh-CN"/>
        </w:rPr>
        <w:t xml:space="preserve">  0431-88910643</w:t>
      </w:r>
      <w:r>
        <w:rPr>
          <w:rFonts w:hint="default" w:ascii="Times New Roman" w:hAnsi="Times New Roman" w:eastAsia="仿宋" w:cs="Times New Roman"/>
          <w:sz w:val="32"/>
          <w:szCs w:val="32"/>
          <w:lang w:val="en-US" w:eastAsia="zh-CN"/>
        </w:rPr>
        <w:t xml:space="preserve">      </w:t>
      </w:r>
    </w:p>
    <w:p w14:paraId="4C2A14DC">
      <w:pPr>
        <w:pStyle w:val="10"/>
        <w:keepNext w:val="0"/>
        <w:keepLines w:val="0"/>
        <w:pageBreakBefore w:val="0"/>
        <w:numPr>
          <w:ilvl w:val="0"/>
          <w:numId w:val="0"/>
        </w:numPr>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textAlignment w:val="auto"/>
        <w:outlineLvl w:val="9"/>
        <w:rPr>
          <w:rFonts w:hint="default" w:ascii="Times New Roman" w:hAnsi="Times New Roman" w:eastAsia="仿宋" w:cs="Times New Roman"/>
          <w:sz w:val="32"/>
          <w:szCs w:val="32"/>
          <w:lang w:val="en-US" w:eastAsia="zh-CN"/>
        </w:rPr>
      </w:pPr>
    </w:p>
    <w:p w14:paraId="3685AA8D">
      <w:pPr>
        <w:pStyle w:val="10"/>
        <w:keepNext w:val="0"/>
        <w:keepLines w:val="0"/>
        <w:pageBreakBefore w:val="0"/>
        <w:numPr>
          <w:ilvl w:val="0"/>
          <w:numId w:val="0"/>
        </w:numPr>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textAlignment w:val="auto"/>
        <w:outlineLvl w:val="9"/>
        <w:rPr>
          <w:rFonts w:hint="default" w:ascii="Times New Roman" w:hAnsi="Times New Roman" w:eastAsia="仿宋" w:cs="Times New Roman"/>
          <w:sz w:val="32"/>
          <w:szCs w:val="32"/>
          <w:lang w:val="en-US" w:eastAsia="zh-CN"/>
        </w:rPr>
      </w:pPr>
    </w:p>
    <w:p w14:paraId="31057D88">
      <w:pPr>
        <w:pStyle w:val="10"/>
        <w:keepNext w:val="0"/>
        <w:keepLines w:val="0"/>
        <w:pageBreakBefore w:val="0"/>
        <w:numPr>
          <w:ilvl w:val="0"/>
          <w:numId w:val="0"/>
        </w:numPr>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textAlignment w:val="auto"/>
        <w:outlineLvl w:val="9"/>
        <w:rPr>
          <w:rFonts w:hint="default" w:ascii="Times New Roman" w:hAnsi="Times New Roman" w:eastAsia="仿宋" w:cs="Times New Roman"/>
          <w:sz w:val="32"/>
          <w:szCs w:val="32"/>
          <w:lang w:val="en-US" w:eastAsia="zh-CN"/>
        </w:rPr>
      </w:pPr>
    </w:p>
    <w:p w14:paraId="6A5E4C75">
      <w:pPr>
        <w:pStyle w:val="10"/>
        <w:keepNext w:val="0"/>
        <w:keepLines w:val="0"/>
        <w:pageBreakBefore w:val="0"/>
        <w:numPr>
          <w:ilvl w:val="0"/>
          <w:numId w:val="0"/>
        </w:numPr>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textAlignment w:val="auto"/>
        <w:outlineLvl w:val="9"/>
        <w:rPr>
          <w:rFonts w:hint="default" w:ascii="Times New Roman" w:hAnsi="Times New Roman" w:eastAsia="仿宋" w:cs="Times New Roman"/>
          <w:sz w:val="32"/>
          <w:szCs w:val="32"/>
          <w:lang w:val="en-US" w:eastAsia="zh-CN"/>
        </w:rPr>
      </w:pPr>
    </w:p>
    <w:p w14:paraId="17051791">
      <w:pPr>
        <w:pStyle w:val="10"/>
        <w:keepNext w:val="0"/>
        <w:keepLines w:val="0"/>
        <w:pageBreakBefore w:val="0"/>
        <w:numPr>
          <w:ilvl w:val="0"/>
          <w:numId w:val="0"/>
        </w:numPr>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textAlignment w:val="auto"/>
        <w:outlineLvl w:val="9"/>
        <w:rPr>
          <w:rFonts w:hint="default" w:ascii="Times New Roman" w:hAnsi="Times New Roman" w:eastAsia="仿宋" w:cs="Times New Roman"/>
          <w:sz w:val="32"/>
          <w:szCs w:val="32"/>
          <w:lang w:val="en-US" w:eastAsia="zh-CN"/>
        </w:rPr>
      </w:pPr>
    </w:p>
    <w:p w14:paraId="254FAFFD">
      <w:pPr>
        <w:pStyle w:val="10"/>
        <w:keepNext w:val="0"/>
        <w:keepLines w:val="0"/>
        <w:pageBreakBefore w:val="0"/>
        <w:numPr>
          <w:ilvl w:val="0"/>
          <w:numId w:val="0"/>
        </w:numPr>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textAlignment w:val="auto"/>
        <w:outlineLvl w:val="9"/>
        <w:rPr>
          <w:rFonts w:hint="default" w:ascii="Times New Roman" w:hAnsi="Times New Roman" w:eastAsia="仿宋" w:cs="Times New Roman"/>
          <w:sz w:val="32"/>
          <w:szCs w:val="32"/>
          <w:lang w:val="en-US" w:eastAsia="zh-CN"/>
        </w:rPr>
      </w:pPr>
    </w:p>
    <w:p w14:paraId="4FA3DCF1">
      <w:pPr>
        <w:keepNext w:val="0"/>
        <w:keepLines w:val="0"/>
        <w:pageBreakBefore w:val="0"/>
        <w:widowControl w:val="0"/>
        <w:kinsoku/>
        <w:wordWrap/>
        <w:overflowPunct/>
        <w:topLinePunct w:val="0"/>
        <w:autoSpaceDE/>
        <w:autoSpaceDN/>
        <w:bidi w:val="0"/>
        <w:adjustRightInd/>
        <w:snapToGrid/>
        <w:spacing w:line="600" w:lineRule="exact"/>
        <w:ind w:left="0"/>
        <w:jc w:val="both"/>
        <w:textAlignment w:val="auto"/>
        <w:rPr>
          <w:rFonts w:hint="eastAsia" w:ascii="国标黑体" w:hAnsi="国标黑体" w:eastAsia="国标黑体" w:cs="国标黑体"/>
          <w:color w:val="auto"/>
          <w:sz w:val="32"/>
          <w:szCs w:val="32"/>
          <w:highlight w:val="none"/>
          <w:u w:val="none"/>
          <w:lang w:val="en-US" w:eastAsia="zh-CN"/>
        </w:rPr>
      </w:pPr>
    </w:p>
    <w:p w14:paraId="6EB7E6C7">
      <w:pPr>
        <w:keepNext w:val="0"/>
        <w:keepLines w:val="0"/>
        <w:pageBreakBefore w:val="0"/>
        <w:widowControl w:val="0"/>
        <w:kinsoku/>
        <w:wordWrap/>
        <w:overflowPunct/>
        <w:topLinePunct w:val="0"/>
        <w:autoSpaceDE/>
        <w:autoSpaceDN/>
        <w:bidi w:val="0"/>
        <w:adjustRightInd/>
        <w:snapToGrid/>
        <w:spacing w:line="600" w:lineRule="exact"/>
        <w:ind w:left="0"/>
        <w:jc w:val="both"/>
        <w:textAlignment w:val="auto"/>
        <w:rPr>
          <w:rFonts w:hint="eastAsia" w:ascii="国标黑体" w:hAnsi="国标黑体" w:eastAsia="国标黑体" w:cs="国标黑体"/>
          <w:color w:val="auto"/>
          <w:sz w:val="32"/>
          <w:szCs w:val="32"/>
          <w:highlight w:val="none"/>
          <w:u w:val="none"/>
          <w:lang w:val="en-US" w:eastAsia="zh-CN"/>
        </w:rPr>
      </w:pPr>
    </w:p>
    <w:p w14:paraId="7A2E3FFB">
      <w:pPr>
        <w:keepNext w:val="0"/>
        <w:keepLines w:val="0"/>
        <w:pageBreakBefore w:val="0"/>
        <w:widowControl w:val="0"/>
        <w:kinsoku/>
        <w:wordWrap/>
        <w:overflowPunct/>
        <w:topLinePunct w:val="0"/>
        <w:autoSpaceDE/>
        <w:autoSpaceDN/>
        <w:bidi w:val="0"/>
        <w:adjustRightInd/>
        <w:snapToGrid/>
        <w:spacing w:line="600" w:lineRule="exact"/>
        <w:ind w:left="0"/>
        <w:jc w:val="both"/>
        <w:textAlignment w:val="auto"/>
        <w:rPr>
          <w:rFonts w:hint="eastAsia" w:ascii="国标黑体" w:hAnsi="国标黑体" w:eastAsia="国标黑体" w:cs="国标黑体"/>
          <w:color w:val="auto"/>
          <w:sz w:val="32"/>
          <w:szCs w:val="32"/>
          <w:highlight w:val="none"/>
          <w:u w:val="none"/>
          <w:lang w:val="en-US" w:eastAsia="zh-CN"/>
        </w:rPr>
      </w:pPr>
    </w:p>
    <w:p w14:paraId="1211567F">
      <w:pPr>
        <w:keepNext w:val="0"/>
        <w:keepLines w:val="0"/>
        <w:pageBreakBefore w:val="0"/>
        <w:widowControl w:val="0"/>
        <w:kinsoku/>
        <w:wordWrap/>
        <w:overflowPunct/>
        <w:topLinePunct w:val="0"/>
        <w:autoSpaceDE/>
        <w:autoSpaceDN/>
        <w:bidi w:val="0"/>
        <w:adjustRightInd/>
        <w:snapToGrid/>
        <w:spacing w:line="600" w:lineRule="exact"/>
        <w:ind w:left="0"/>
        <w:jc w:val="both"/>
        <w:textAlignment w:val="auto"/>
        <w:rPr>
          <w:rFonts w:hint="default" w:ascii="国标黑体" w:hAnsi="国标黑体" w:eastAsia="国标黑体" w:cs="国标黑体"/>
          <w:color w:val="auto"/>
          <w:sz w:val="32"/>
          <w:szCs w:val="32"/>
          <w:highlight w:val="none"/>
          <w:u w:val="none"/>
          <w:lang w:val="en-US" w:eastAsia="zh-CN"/>
        </w:rPr>
      </w:pPr>
    </w:p>
    <w:sectPr>
      <w:headerReference r:id="rId3" w:type="default"/>
      <w:footerReference r:id="rId4" w:type="default"/>
      <w:pgSz w:w="11906" w:h="16838"/>
      <w:pgMar w:top="1757" w:right="1474" w:bottom="1757" w:left="1587" w:header="851" w:footer="992" w:gutter="0"/>
      <w:pgNumType w:fmt="decimalFullWidth"/>
      <w:cols w:space="0" w:num="1"/>
      <w:rtlGutter w:val="0"/>
      <w:docGrid w:type="linesAndChars" w:linePitch="306" w:charSpace="1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国标黑体">
    <w:altName w:val="黑体"/>
    <w:panose1 w:val="02000500000000000000"/>
    <w:charset w:val="86"/>
    <w:family w:val="auto"/>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95904">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F5CBAF">
                          <w:pPr>
                            <w:snapToGrid w:val="0"/>
                            <w:rPr>
                              <w:rFonts w:hint="eastAsia" w:eastAsiaTheme="minorEastAsia"/>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CF5CBAF">
                    <w:pPr>
                      <w:snapToGrid w:val="0"/>
                      <w:rPr>
                        <w:rFonts w:hint="eastAsia" w:eastAsiaTheme="minorEastAsia"/>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E46D6">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HorizontalSpacing w:val="105"/>
  <w:drawingGridVerticalSpacing w:val="153"/>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7B1766"/>
    <w:rsid w:val="01944682"/>
    <w:rsid w:val="035C36A4"/>
    <w:rsid w:val="03692A70"/>
    <w:rsid w:val="03AD2ECC"/>
    <w:rsid w:val="04B36769"/>
    <w:rsid w:val="05560018"/>
    <w:rsid w:val="059105A7"/>
    <w:rsid w:val="05A51019"/>
    <w:rsid w:val="05D635F0"/>
    <w:rsid w:val="07F1599B"/>
    <w:rsid w:val="084215F9"/>
    <w:rsid w:val="09A07BC9"/>
    <w:rsid w:val="0A1451CB"/>
    <w:rsid w:val="0A17411B"/>
    <w:rsid w:val="0ACE46CC"/>
    <w:rsid w:val="0BC4310C"/>
    <w:rsid w:val="0C6E37F7"/>
    <w:rsid w:val="0EB32901"/>
    <w:rsid w:val="0F025B2B"/>
    <w:rsid w:val="0F5D0A2F"/>
    <w:rsid w:val="0F940510"/>
    <w:rsid w:val="11BD3764"/>
    <w:rsid w:val="1494719D"/>
    <w:rsid w:val="16215173"/>
    <w:rsid w:val="16F04337"/>
    <w:rsid w:val="170159FE"/>
    <w:rsid w:val="17A57D56"/>
    <w:rsid w:val="17F56E3E"/>
    <w:rsid w:val="192F5B57"/>
    <w:rsid w:val="199B5F94"/>
    <w:rsid w:val="1ACB4B33"/>
    <w:rsid w:val="1AD37641"/>
    <w:rsid w:val="1B8F221D"/>
    <w:rsid w:val="1C9C582F"/>
    <w:rsid w:val="1CA5102A"/>
    <w:rsid w:val="1D5234F8"/>
    <w:rsid w:val="1D676B38"/>
    <w:rsid w:val="1D8D6B18"/>
    <w:rsid w:val="1E765974"/>
    <w:rsid w:val="1F22123D"/>
    <w:rsid w:val="1F2933B1"/>
    <w:rsid w:val="1FA10A41"/>
    <w:rsid w:val="1FAF2BE8"/>
    <w:rsid w:val="20560C98"/>
    <w:rsid w:val="217516EE"/>
    <w:rsid w:val="21A83E1B"/>
    <w:rsid w:val="2434442A"/>
    <w:rsid w:val="24836EA5"/>
    <w:rsid w:val="284E30F9"/>
    <w:rsid w:val="29145CFC"/>
    <w:rsid w:val="2A0D398A"/>
    <w:rsid w:val="2DFF887F"/>
    <w:rsid w:val="2E955798"/>
    <w:rsid w:val="2ED00026"/>
    <w:rsid w:val="2F1A3594"/>
    <w:rsid w:val="2FC17BDB"/>
    <w:rsid w:val="302E677C"/>
    <w:rsid w:val="31E30577"/>
    <w:rsid w:val="32BE016A"/>
    <w:rsid w:val="32CA3C6C"/>
    <w:rsid w:val="33916C0D"/>
    <w:rsid w:val="35562A78"/>
    <w:rsid w:val="35B00DFE"/>
    <w:rsid w:val="37267736"/>
    <w:rsid w:val="375D6BCB"/>
    <w:rsid w:val="387F492E"/>
    <w:rsid w:val="399858CF"/>
    <w:rsid w:val="3B9C0691"/>
    <w:rsid w:val="3C1E5265"/>
    <w:rsid w:val="3CA95E25"/>
    <w:rsid w:val="3CFF0545"/>
    <w:rsid w:val="3D5321DA"/>
    <w:rsid w:val="3DFF5C9B"/>
    <w:rsid w:val="3EE717D0"/>
    <w:rsid w:val="3EFF312D"/>
    <w:rsid w:val="3F017BCD"/>
    <w:rsid w:val="3F6F5AD0"/>
    <w:rsid w:val="3FA21C6F"/>
    <w:rsid w:val="3FFF7345"/>
    <w:rsid w:val="41454555"/>
    <w:rsid w:val="426E7233"/>
    <w:rsid w:val="42CE0C6B"/>
    <w:rsid w:val="42E62F90"/>
    <w:rsid w:val="43A35B75"/>
    <w:rsid w:val="44C41110"/>
    <w:rsid w:val="46510C88"/>
    <w:rsid w:val="46C92B04"/>
    <w:rsid w:val="473A627B"/>
    <w:rsid w:val="48532FAE"/>
    <w:rsid w:val="487F2846"/>
    <w:rsid w:val="48D24570"/>
    <w:rsid w:val="49AB3D83"/>
    <w:rsid w:val="4A571F3E"/>
    <w:rsid w:val="4A6F554D"/>
    <w:rsid w:val="4A9F6928"/>
    <w:rsid w:val="4AAF216F"/>
    <w:rsid w:val="4B610A6D"/>
    <w:rsid w:val="4B7431FE"/>
    <w:rsid w:val="4B7C1AB7"/>
    <w:rsid w:val="4C1826A1"/>
    <w:rsid w:val="4C386249"/>
    <w:rsid w:val="4CFB16AC"/>
    <w:rsid w:val="4D120EE2"/>
    <w:rsid w:val="4DBD6A6F"/>
    <w:rsid w:val="4DCE51A8"/>
    <w:rsid w:val="4DFB43DA"/>
    <w:rsid w:val="4E2F1245"/>
    <w:rsid w:val="4F3B6406"/>
    <w:rsid w:val="4FD76B6C"/>
    <w:rsid w:val="5000557A"/>
    <w:rsid w:val="511461E1"/>
    <w:rsid w:val="52B7145A"/>
    <w:rsid w:val="53DD7B97"/>
    <w:rsid w:val="549F0825"/>
    <w:rsid w:val="55437338"/>
    <w:rsid w:val="55570B2C"/>
    <w:rsid w:val="566A106F"/>
    <w:rsid w:val="57BD0CE3"/>
    <w:rsid w:val="57CF0EB4"/>
    <w:rsid w:val="57EE299B"/>
    <w:rsid w:val="5945424F"/>
    <w:rsid w:val="5A9E6CB0"/>
    <w:rsid w:val="5B9FC1A8"/>
    <w:rsid w:val="5CD83790"/>
    <w:rsid w:val="5D2B3361"/>
    <w:rsid w:val="5DCF7D54"/>
    <w:rsid w:val="5E2D311C"/>
    <w:rsid w:val="5E495C7B"/>
    <w:rsid w:val="5EA9344F"/>
    <w:rsid w:val="5EFF18EF"/>
    <w:rsid w:val="5FE980B5"/>
    <w:rsid w:val="5FF9AA03"/>
    <w:rsid w:val="61C7366C"/>
    <w:rsid w:val="625B45CC"/>
    <w:rsid w:val="62872A05"/>
    <w:rsid w:val="631D6285"/>
    <w:rsid w:val="63685A75"/>
    <w:rsid w:val="645B1E2A"/>
    <w:rsid w:val="64EB44CC"/>
    <w:rsid w:val="64F8206B"/>
    <w:rsid w:val="65BC1B9B"/>
    <w:rsid w:val="65E70CDA"/>
    <w:rsid w:val="67BE21CB"/>
    <w:rsid w:val="67F7A2AC"/>
    <w:rsid w:val="68802A0C"/>
    <w:rsid w:val="6A0F0C44"/>
    <w:rsid w:val="6A7AF1AE"/>
    <w:rsid w:val="6A7B1766"/>
    <w:rsid w:val="6C1F0839"/>
    <w:rsid w:val="6C9B189C"/>
    <w:rsid w:val="6CAB45C7"/>
    <w:rsid w:val="6D0758B3"/>
    <w:rsid w:val="6DD227B2"/>
    <w:rsid w:val="6E316843"/>
    <w:rsid w:val="6EF87F99"/>
    <w:rsid w:val="6F7EB71B"/>
    <w:rsid w:val="6FD64BA5"/>
    <w:rsid w:val="6FE560A2"/>
    <w:rsid w:val="70FD0905"/>
    <w:rsid w:val="7143224F"/>
    <w:rsid w:val="71FA7D49"/>
    <w:rsid w:val="72F2720D"/>
    <w:rsid w:val="737D7ACC"/>
    <w:rsid w:val="737F8E5A"/>
    <w:rsid w:val="7402244F"/>
    <w:rsid w:val="74BF6218"/>
    <w:rsid w:val="74CF5A09"/>
    <w:rsid w:val="74D671C0"/>
    <w:rsid w:val="75D96E3E"/>
    <w:rsid w:val="76133A32"/>
    <w:rsid w:val="765C12D1"/>
    <w:rsid w:val="777D2D38"/>
    <w:rsid w:val="77B9BA0B"/>
    <w:rsid w:val="786E46BC"/>
    <w:rsid w:val="7940554E"/>
    <w:rsid w:val="7A630BCC"/>
    <w:rsid w:val="7B5A6545"/>
    <w:rsid w:val="7BFF2BFC"/>
    <w:rsid w:val="7C385BA0"/>
    <w:rsid w:val="7C4009C2"/>
    <w:rsid w:val="7C7475F3"/>
    <w:rsid w:val="7D604301"/>
    <w:rsid w:val="7D9C1283"/>
    <w:rsid w:val="7D9F1E79"/>
    <w:rsid w:val="7DFF0412"/>
    <w:rsid w:val="7DFF23B2"/>
    <w:rsid w:val="7EA5130A"/>
    <w:rsid w:val="7F73620C"/>
    <w:rsid w:val="7FAE0801"/>
    <w:rsid w:val="7FB9DD7A"/>
    <w:rsid w:val="7FF374CB"/>
    <w:rsid w:val="7FFEAC5E"/>
    <w:rsid w:val="917899C9"/>
    <w:rsid w:val="97B05B15"/>
    <w:rsid w:val="99EF9CF9"/>
    <w:rsid w:val="AFBDF272"/>
    <w:rsid w:val="AFFF86FE"/>
    <w:rsid w:val="B3D7ACDE"/>
    <w:rsid w:val="B7DE1275"/>
    <w:rsid w:val="BCB50BAE"/>
    <w:rsid w:val="BF45A662"/>
    <w:rsid w:val="BF7590E5"/>
    <w:rsid w:val="BF7D900D"/>
    <w:rsid w:val="BFB392B6"/>
    <w:rsid w:val="C9DC93DE"/>
    <w:rsid w:val="D1FBB6F0"/>
    <w:rsid w:val="D6BBBFE7"/>
    <w:rsid w:val="DBDB027F"/>
    <w:rsid w:val="DDFF0EB9"/>
    <w:rsid w:val="DFBFDDEC"/>
    <w:rsid w:val="ED764D41"/>
    <w:rsid w:val="EFDD2D93"/>
    <w:rsid w:val="EFEF1BFB"/>
    <w:rsid w:val="F7FFC2EE"/>
    <w:rsid w:val="F97F47C6"/>
    <w:rsid w:val="FB65CBAD"/>
    <w:rsid w:val="FBFF1815"/>
    <w:rsid w:val="FCFB49D8"/>
    <w:rsid w:val="FCFFBD1B"/>
    <w:rsid w:val="FDFD0B8D"/>
    <w:rsid w:val="FEF13EB4"/>
    <w:rsid w:val="FF42EE13"/>
    <w:rsid w:val="FF7F1A52"/>
    <w:rsid w:val="FF7F73C7"/>
    <w:rsid w:val="FFAFB964"/>
    <w:rsid w:val="FFB9D410"/>
    <w:rsid w:val="FFE510A3"/>
    <w:rsid w:val="FFFF0E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TOC 标题1"/>
    <w:basedOn w:val="3"/>
    <w:next w:val="1"/>
    <w:qFormat/>
    <w:uiPriority w:val="99"/>
    <w:pPr>
      <w:keepNext w:val="0"/>
      <w:keepLines w:val="0"/>
      <w:spacing w:before="100" w:beforeAutospacing="1" w:after="100" w:afterAutospacing="1" w:line="276" w:lineRule="auto"/>
      <w:jc w:val="left"/>
      <w:outlineLvl w:val="9"/>
    </w:pPr>
    <w:rPr>
      <w:rFonts w:hint="eastAsia" w:ascii="仿宋" w:hAnsi="仿宋" w:eastAsia="仿宋"/>
      <w:bCs w:val="0"/>
      <w:color w:val="000000"/>
      <w:kern w:val="0"/>
      <w:sz w:val="32"/>
      <w:szCs w:val="32"/>
    </w:rPr>
  </w:style>
  <w:style w:type="paragraph" w:styleId="4">
    <w:name w:val="Body Text"/>
    <w:basedOn w:val="1"/>
    <w:next w:val="5"/>
    <w:qFormat/>
    <w:uiPriority w:val="0"/>
  </w:style>
  <w:style w:type="paragraph" w:styleId="5">
    <w:name w:val="Date"/>
    <w:next w:val="1"/>
    <w:qFormat/>
    <w:uiPriority w:val="0"/>
    <w:pPr>
      <w:widowControl w:val="0"/>
      <w:spacing w:after="160" w:line="278" w:lineRule="auto"/>
      <w:ind w:left="100" w:leftChars="2500"/>
      <w:jc w:val="both"/>
    </w:pPr>
    <w:rPr>
      <w:rFonts w:ascii="Times New Roman" w:hAnsi="Times New Roman" w:eastAsia="宋体" w:cs="Times New Roman"/>
      <w:kern w:val="2"/>
      <w:sz w:val="21"/>
      <w:szCs w:val="24"/>
      <w:lang w:val="en-US" w:eastAsia="zh-CN" w:bidi="ar-SA"/>
    </w:rPr>
  </w:style>
  <w:style w:type="paragraph" w:styleId="6">
    <w:name w:val="Body Text Indent"/>
    <w:basedOn w:val="1"/>
    <w:next w:val="1"/>
    <w:qFormat/>
    <w:uiPriority w:val="0"/>
    <w:pPr>
      <w:ind w:left="1596" w:hanging="969"/>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11">
    <w:name w:val="Body Text First Indent 2"/>
    <w:basedOn w:val="6"/>
    <w:next w:val="1"/>
    <w:unhideWhenUsed/>
    <w:qFormat/>
    <w:uiPriority w:val="99"/>
    <w:pPr>
      <w:ind w:firstLine="420" w:firstLineChars="200"/>
    </w:pPr>
  </w:style>
  <w:style w:type="paragraph" w:customStyle="1" w:styleId="14">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
    <w:name w:val="Normal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1006</Words>
  <Characters>1048</Characters>
  <Lines>0</Lines>
  <Paragraphs>0</Paragraphs>
  <TotalTime>5</TotalTime>
  <ScaleCrop>false</ScaleCrop>
  <LinksUpToDate>false</LinksUpToDate>
  <CharactersWithSpaces>1067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2019-04-14T14:04:00Z</dcterms:created>
  <dc:creator>何衍林</dc:creator>
  <cp:lastModifiedBy>浩然</cp:lastModifiedBy>
  <cp:lastPrinted>2025-05-23T09:55:00Z</cp:lastPrinted>
  <dcterms:modified xsi:type="dcterms:W3CDTF">2025-06-27T13:36:52Z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eyJoZGlkIjoiZTQzOTk5MmU1MzI2MzZhMThiNDcxZmMzNjk1NzNlNmIiLCJ1c2VySWQiOiIzMTg4MDQ1ODEifQ==</vt:lpwstr>
  </property>
  <property fmtid="{D5CDD505-2E9C-101B-9397-08002B2CF9AE}" pid="4" name="ICV">
    <vt:lpwstr>70B518BEB554488FB51EAC150EC074A2_13</vt:lpwstr>
  </property>
</Properties>
</file>