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DABFB">
      <w:pPr>
        <w:keepNext w:val="0"/>
        <w:keepLines w:val="0"/>
        <w:pageBreakBefore w:val="0"/>
        <w:widowControl w:val="0"/>
        <w:kinsoku/>
        <w:wordWrap/>
        <w:topLinePunct w:val="0"/>
        <w:autoSpaceDE/>
        <w:bidi w:val="0"/>
        <w:adjustRightInd w:val="0"/>
        <w:snapToGrid w:val="0"/>
        <w:spacing w:line="560" w:lineRule="exact"/>
        <w:ind w:left="0" w:leftChars="0"/>
        <w:jc w:val="both"/>
        <w:textAlignment w:val="auto"/>
        <w:rPr>
          <w:rFonts w:hint="default" w:ascii="Times New Roman" w:hAnsi="Times New Roman" w:eastAsia="国标黑体" w:cs="Times New Roman"/>
          <w:sz w:val="32"/>
          <w:szCs w:val="32"/>
          <w:lang w:val="en-US" w:eastAsia="zh-CN"/>
        </w:rPr>
      </w:pPr>
      <w:r>
        <w:rPr>
          <w:rFonts w:hint="default" w:ascii="Times New Roman" w:hAnsi="Times New Roman" w:eastAsia="国标黑体" w:cs="Times New Roman"/>
          <w:sz w:val="32"/>
          <w:szCs w:val="32"/>
          <w:lang w:val="en-US" w:eastAsia="zh-CN"/>
        </w:rPr>
        <w:t>附件3</w:t>
      </w:r>
      <w:r>
        <w:rPr>
          <w:rFonts w:hint="eastAsia" w:eastAsia="国标黑体" w:cs="Times New Roman"/>
          <w:sz w:val="32"/>
          <w:szCs w:val="32"/>
          <w:lang w:val="en-US" w:eastAsia="zh-CN"/>
        </w:rPr>
        <w:t>5</w:t>
      </w:r>
      <w:bookmarkStart w:id="0" w:name="_GoBack"/>
      <w:bookmarkEnd w:id="0"/>
    </w:p>
    <w:p w14:paraId="2F2A0D06">
      <w:pPr>
        <w:keepNext w:val="0"/>
        <w:keepLines w:val="0"/>
        <w:pageBreakBefore w:val="0"/>
        <w:widowControl w:val="0"/>
        <w:kinsoku/>
        <w:wordWrap/>
        <w:topLinePunct w:val="0"/>
        <w:autoSpaceDE/>
        <w:bidi w:val="0"/>
        <w:adjustRightInd w:val="0"/>
        <w:snapToGrid w:val="0"/>
        <w:spacing w:line="560" w:lineRule="exact"/>
        <w:ind w:left="0" w:leftChars="0"/>
        <w:jc w:val="center"/>
        <w:textAlignment w:val="auto"/>
        <w:rPr>
          <w:rFonts w:hint="default" w:ascii="Times New Roman" w:hAnsi="Times New Roman" w:eastAsia="方正小标宋简体" w:cs="Times New Roman"/>
          <w:color w:val="000000"/>
          <w:sz w:val="44"/>
          <w:szCs w:val="44"/>
        </w:rPr>
      </w:pPr>
    </w:p>
    <w:p w14:paraId="2729F4CA">
      <w:pPr>
        <w:keepNext w:val="0"/>
        <w:keepLines w:val="0"/>
        <w:pageBreakBefore w:val="0"/>
        <w:widowControl w:val="0"/>
        <w:kinsoku/>
        <w:wordWrap/>
        <w:topLinePunct w:val="0"/>
        <w:autoSpaceDE/>
        <w:bidi w:val="0"/>
        <w:adjustRightInd w:val="0"/>
        <w:snapToGrid w:val="0"/>
        <w:spacing w:line="560" w:lineRule="exact"/>
        <w:ind w:left="0" w:leftChars="0"/>
        <w:jc w:val="center"/>
        <w:textAlignment w:val="auto"/>
        <w:rPr>
          <w:rFonts w:hint="default" w:ascii="Times New Roman" w:hAnsi="Times New Roman" w:eastAsia="方正小标宋简体" w:cs="Times New Roman"/>
          <w:color w:val="000000"/>
          <w:kern w:val="0"/>
          <w:sz w:val="44"/>
          <w:szCs w:val="44"/>
          <w:highlight w:val="none"/>
          <w:lang w:eastAsia="zh-CN" w:bidi="ar"/>
        </w:rPr>
      </w:pPr>
      <w:r>
        <w:rPr>
          <w:rFonts w:hint="default" w:ascii="Times New Roman" w:hAnsi="Times New Roman" w:eastAsia="方正小标宋简体" w:cs="Times New Roman"/>
          <w:color w:val="000000"/>
          <w:kern w:val="0"/>
          <w:sz w:val="44"/>
          <w:szCs w:val="44"/>
          <w:highlight w:val="none"/>
          <w:lang w:bidi="ar"/>
        </w:rPr>
        <w:t>2025年省级农业高质量发展</w:t>
      </w:r>
      <w:r>
        <w:rPr>
          <w:rFonts w:hint="default" w:ascii="Times New Roman" w:hAnsi="Times New Roman" w:eastAsia="方正小标宋简体" w:cs="Times New Roman"/>
          <w:color w:val="000000"/>
          <w:kern w:val="0"/>
          <w:sz w:val="44"/>
          <w:szCs w:val="44"/>
          <w:highlight w:val="none"/>
          <w:lang w:eastAsia="zh-CN" w:bidi="ar"/>
        </w:rPr>
        <w:t>专项资金</w:t>
      </w:r>
    </w:p>
    <w:p w14:paraId="7457D7AE">
      <w:pPr>
        <w:keepNext w:val="0"/>
        <w:keepLines w:val="0"/>
        <w:pageBreakBefore w:val="0"/>
        <w:widowControl w:val="0"/>
        <w:kinsoku/>
        <w:wordWrap/>
        <w:topLinePunct w:val="0"/>
        <w:autoSpaceDE/>
        <w:bidi w:val="0"/>
        <w:adjustRightInd w:val="0"/>
        <w:snapToGrid w:val="0"/>
        <w:spacing w:line="560" w:lineRule="exact"/>
        <w:ind w:left="0" w:left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kern w:val="0"/>
          <w:sz w:val="44"/>
          <w:szCs w:val="44"/>
          <w:highlight w:val="none"/>
          <w:lang w:bidi="ar"/>
        </w:rPr>
        <w:t>（设施园艺发展）项目实施方案（指南）</w:t>
      </w:r>
    </w:p>
    <w:p w14:paraId="486D7FD9">
      <w:pPr>
        <w:keepNext w:val="0"/>
        <w:keepLines w:val="0"/>
        <w:pageBreakBefore w:val="0"/>
        <w:widowControl w:val="0"/>
        <w:kinsoku/>
        <w:wordWrap/>
        <w:topLinePunct w:val="0"/>
        <w:autoSpaceDE/>
        <w:bidi w:val="0"/>
        <w:adjustRightInd w:val="0"/>
        <w:snapToGrid w:val="0"/>
        <w:spacing w:line="560" w:lineRule="exact"/>
        <w:ind w:left="0" w:leftChars="0" w:firstLine="640" w:firstLineChars="200"/>
        <w:textAlignment w:val="auto"/>
        <w:rPr>
          <w:rFonts w:hint="default" w:ascii="Times New Roman" w:hAnsi="Times New Roman" w:eastAsia="黑体" w:cs="Times New Roman"/>
          <w:snapToGrid w:val="0"/>
          <w:color w:val="000000"/>
          <w:szCs w:val="32"/>
        </w:rPr>
      </w:pPr>
    </w:p>
    <w:p w14:paraId="639EA607">
      <w:pPr>
        <w:keepNext w:val="0"/>
        <w:keepLines w:val="0"/>
        <w:pageBreakBefore w:val="0"/>
        <w:widowControl w:val="0"/>
        <w:kinsoku/>
        <w:wordWrap/>
        <w:topLinePunct w:val="0"/>
        <w:autoSpaceDE/>
        <w:bidi w:val="0"/>
        <w:adjustRightInd w:val="0"/>
        <w:snapToGrid w:val="0"/>
        <w:spacing w:line="560" w:lineRule="exact"/>
        <w:ind w:left="0" w:leftChars="0" w:firstLine="640" w:firstLineChars="200"/>
        <w:textAlignment w:val="auto"/>
        <w:rPr>
          <w:rFonts w:hint="default" w:ascii="Times New Roman" w:hAnsi="Times New Roman" w:eastAsia="黑体" w:cs="Times New Roman"/>
          <w:snapToGrid w:val="0"/>
          <w:color w:val="000000"/>
          <w:szCs w:val="32"/>
        </w:rPr>
      </w:pPr>
      <w:r>
        <w:rPr>
          <w:rFonts w:hint="default" w:ascii="Times New Roman" w:hAnsi="Times New Roman" w:eastAsia="黑体" w:cs="Times New Roman"/>
          <w:snapToGrid w:val="0"/>
          <w:color w:val="000000"/>
          <w:szCs w:val="32"/>
        </w:rPr>
        <w:t>一、绩效目标</w:t>
      </w:r>
    </w:p>
    <w:p w14:paraId="63A0A487">
      <w:pPr>
        <w:keepNext w:val="0"/>
        <w:keepLines w:val="0"/>
        <w:pageBreakBefore w:val="0"/>
        <w:widowControl w:val="0"/>
        <w:kinsoku/>
        <w:wordWrap/>
        <w:topLinePunct w:val="0"/>
        <w:autoSpaceDE/>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napToGrid w:val="0"/>
          <w:color w:val="000000"/>
          <w:szCs w:val="32"/>
        </w:rPr>
      </w:pPr>
      <w:r>
        <w:rPr>
          <w:rFonts w:hint="default" w:ascii="Times New Roman" w:hAnsi="Times New Roman" w:eastAsia="仿宋_GB2312" w:cs="Times New Roman"/>
          <w:snapToGrid w:val="0"/>
          <w:color w:val="000000"/>
          <w:szCs w:val="32"/>
        </w:rPr>
        <w:t>贯彻落实省委1号文件、</w:t>
      </w:r>
      <w:r>
        <w:rPr>
          <w:rFonts w:hint="default" w:ascii="Times New Roman" w:hAnsi="Times New Roman" w:eastAsia="仿宋_GB2312" w:cs="Times New Roman"/>
          <w:snapToGrid w:val="0"/>
          <w:color w:val="000000"/>
          <w:szCs w:val="32"/>
          <w:lang w:eastAsia="zh-CN"/>
        </w:rPr>
        <w:t>《全国现代设施农业建设规划》</w:t>
      </w:r>
      <w:r>
        <w:rPr>
          <w:rFonts w:hint="default" w:ascii="Times New Roman" w:hAnsi="Times New Roman" w:eastAsia="仿宋_GB2312" w:cs="Times New Roman"/>
          <w:snapToGrid w:val="0"/>
          <w:color w:val="000000"/>
          <w:szCs w:val="32"/>
        </w:rPr>
        <w:t>和《吉林省人民政府办公厅关于加快推进全省棚膜经济发展的实施意见》（吉政办发〔2021〕40号）精神，结合当前产业发展实际，对全省新建棚室园区、在盐碱地等未利用地上建设大规模设施园区</w:t>
      </w:r>
      <w:r>
        <w:rPr>
          <w:rFonts w:hint="default" w:ascii="Times New Roman" w:hAnsi="Times New Roman" w:eastAsia="仿宋_GB2312" w:cs="Times New Roman"/>
          <w:snapToGrid w:val="0"/>
          <w:color w:val="000000"/>
          <w:szCs w:val="32"/>
          <w:lang w:eastAsia="zh-CN"/>
        </w:rPr>
        <w:t>和</w:t>
      </w:r>
      <w:r>
        <w:rPr>
          <w:rFonts w:hint="default" w:ascii="Times New Roman" w:hAnsi="Times New Roman" w:eastAsia="仿宋_GB2312" w:cs="Times New Roman"/>
          <w:snapToGrid w:val="0"/>
          <w:color w:val="000000"/>
          <w:szCs w:val="32"/>
        </w:rPr>
        <w:t>建设育苗中心</w:t>
      </w:r>
      <w:r>
        <w:rPr>
          <w:rFonts w:hint="default" w:ascii="Times New Roman" w:hAnsi="Times New Roman" w:eastAsia="仿宋_GB2312" w:cs="Times New Roman"/>
          <w:snapToGrid w:val="0"/>
          <w:color w:val="000000"/>
          <w:szCs w:val="32"/>
          <w:lang w:eastAsia="zh-CN"/>
        </w:rPr>
        <w:t>及工厂化生产设施等</w:t>
      </w:r>
      <w:r>
        <w:rPr>
          <w:rFonts w:hint="default" w:ascii="Times New Roman" w:hAnsi="Times New Roman" w:eastAsia="仿宋_GB2312" w:cs="Times New Roman"/>
          <w:snapToGrid w:val="0"/>
          <w:color w:val="000000"/>
          <w:szCs w:val="32"/>
        </w:rPr>
        <w:t>进行补助，加快全省</w:t>
      </w:r>
      <w:r>
        <w:rPr>
          <w:rFonts w:hint="default" w:ascii="Times New Roman" w:hAnsi="Times New Roman" w:eastAsia="仿宋_GB2312" w:cs="Times New Roman"/>
          <w:snapToGrid w:val="0"/>
          <w:color w:val="000000"/>
          <w:szCs w:val="32"/>
          <w:lang w:eastAsia="zh-CN"/>
        </w:rPr>
        <w:t>设施园艺高质量发展</w:t>
      </w:r>
      <w:r>
        <w:rPr>
          <w:rFonts w:hint="default" w:ascii="Times New Roman" w:hAnsi="Times New Roman" w:eastAsia="仿宋_GB2312" w:cs="Times New Roman"/>
          <w:snapToGrid w:val="0"/>
          <w:color w:val="000000"/>
          <w:szCs w:val="32"/>
        </w:rPr>
        <w:t>。</w:t>
      </w:r>
    </w:p>
    <w:p w14:paraId="46FBD4B2">
      <w:pPr>
        <w:keepNext w:val="0"/>
        <w:keepLines w:val="0"/>
        <w:pageBreakBefore w:val="0"/>
        <w:widowControl w:val="0"/>
        <w:kinsoku/>
        <w:wordWrap/>
        <w:topLinePunct w:val="0"/>
        <w:autoSpaceDE/>
        <w:bidi w:val="0"/>
        <w:adjustRightInd w:val="0"/>
        <w:snapToGrid w:val="0"/>
        <w:spacing w:line="560" w:lineRule="exact"/>
        <w:ind w:left="0" w:leftChars="0" w:firstLine="640" w:firstLineChars="200"/>
        <w:textAlignment w:val="auto"/>
        <w:rPr>
          <w:rFonts w:hint="default" w:ascii="Times New Roman" w:hAnsi="Times New Roman" w:eastAsia="黑体" w:cs="Times New Roman"/>
          <w:snapToGrid w:val="0"/>
          <w:color w:val="000000"/>
          <w:szCs w:val="32"/>
        </w:rPr>
      </w:pPr>
      <w:r>
        <w:rPr>
          <w:rFonts w:hint="default" w:ascii="Times New Roman" w:hAnsi="Times New Roman" w:eastAsia="黑体" w:cs="Times New Roman"/>
          <w:snapToGrid w:val="0"/>
          <w:color w:val="000000"/>
          <w:szCs w:val="32"/>
        </w:rPr>
        <w:t>二、项目内容</w:t>
      </w:r>
    </w:p>
    <w:p w14:paraId="19A885A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设施园艺项目</w:t>
      </w:r>
      <w:r>
        <w:rPr>
          <w:rFonts w:hint="default" w:ascii="Times New Roman" w:hAnsi="Times New Roman" w:eastAsia="仿宋_GB2312" w:cs="Times New Roman"/>
          <w:sz w:val="32"/>
          <w:szCs w:val="32"/>
        </w:rPr>
        <w:t>主要</w:t>
      </w:r>
      <w:r>
        <w:rPr>
          <w:rFonts w:hint="default" w:ascii="Times New Roman" w:hAnsi="Times New Roman" w:eastAsia="仿宋_GB2312" w:cs="Times New Roman"/>
          <w:sz w:val="32"/>
          <w:szCs w:val="32"/>
          <w:lang w:eastAsia="zh-CN"/>
        </w:rPr>
        <w:t>采取先建后补的方式进行奖补，主要</w:t>
      </w:r>
      <w:r>
        <w:rPr>
          <w:rFonts w:hint="default" w:ascii="Times New Roman" w:hAnsi="Times New Roman" w:eastAsia="仿宋_GB2312" w:cs="Times New Roman"/>
          <w:sz w:val="32"/>
          <w:szCs w:val="32"/>
        </w:rPr>
        <w:t>支持以下三个方面内容：</w:t>
      </w:r>
    </w:p>
    <w:p w14:paraId="1788995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val="en-US" w:eastAsia="zh-CN"/>
        </w:rPr>
        <w:t>（一）</w:t>
      </w:r>
      <w:r>
        <w:rPr>
          <w:rFonts w:hint="default" w:ascii="Times New Roman" w:hAnsi="Times New Roman" w:eastAsia="楷体_GB2312" w:cs="Times New Roman"/>
          <w:b w:val="0"/>
          <w:bCs w:val="0"/>
          <w:sz w:val="32"/>
          <w:szCs w:val="32"/>
        </w:rPr>
        <w:t>支持新建设施园艺规模园区</w:t>
      </w:r>
      <w:r>
        <w:rPr>
          <w:rFonts w:hint="default" w:ascii="Times New Roman" w:hAnsi="Times New Roman" w:eastAsia="楷体_GB2312" w:cs="Times New Roman"/>
          <w:b w:val="0"/>
          <w:bCs w:val="0"/>
          <w:sz w:val="32"/>
          <w:szCs w:val="32"/>
          <w:lang w:eastAsia="zh-CN"/>
        </w:rPr>
        <w:t>。</w:t>
      </w:r>
    </w:p>
    <w:p w14:paraId="4544758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补助对象和范围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支持农户或合作社、家庭农场、企业等各类投资建设规模园区主体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新建</w:t>
      </w:r>
      <w:r>
        <w:rPr>
          <w:rFonts w:hint="default" w:ascii="Times New Roman" w:hAnsi="Times New Roman" w:eastAsia="仿宋_GB2312" w:cs="Times New Roman"/>
          <w:sz w:val="32"/>
          <w:szCs w:val="32"/>
          <w:lang w:val="en-US" w:eastAsia="zh-CN"/>
        </w:rPr>
        <w:t>设施</w:t>
      </w:r>
      <w:r>
        <w:rPr>
          <w:rFonts w:hint="default" w:ascii="Times New Roman" w:hAnsi="Times New Roman" w:eastAsia="仿宋_GB2312" w:cs="Times New Roman"/>
          <w:sz w:val="32"/>
          <w:szCs w:val="32"/>
        </w:rPr>
        <w:t>面积30亩以上集中连片规模化园区和小农户以村屯为单位新建零散</w:t>
      </w:r>
      <w:r>
        <w:rPr>
          <w:rFonts w:hint="default" w:ascii="Times New Roman" w:hAnsi="Times New Roman" w:eastAsia="仿宋_GB2312" w:cs="Times New Roman"/>
          <w:sz w:val="32"/>
          <w:szCs w:val="32"/>
          <w:lang w:val="en-US" w:eastAsia="zh-CN"/>
        </w:rPr>
        <w:t>设施园艺</w:t>
      </w:r>
      <w:r>
        <w:rPr>
          <w:rFonts w:hint="default" w:ascii="Times New Roman" w:hAnsi="Times New Roman" w:eastAsia="仿宋_GB2312" w:cs="Times New Roman"/>
          <w:sz w:val="32"/>
          <w:szCs w:val="32"/>
        </w:rPr>
        <w:t>核查统计面积30亩以上的。</w:t>
      </w:r>
    </w:p>
    <w:p w14:paraId="3B635D3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snapToGrid w:val="0"/>
          <w:color w:val="000000"/>
          <w:szCs w:val="32"/>
        </w:rPr>
      </w:pPr>
      <w:r>
        <w:rPr>
          <w:rFonts w:hint="default" w:ascii="Times New Roman" w:hAnsi="Times New Roman" w:eastAsia="仿宋_GB2312" w:cs="Times New Roman"/>
          <w:b/>
          <w:bCs/>
          <w:sz w:val="32"/>
          <w:szCs w:val="32"/>
          <w:lang w:val="en-US" w:eastAsia="zh-CN"/>
        </w:rPr>
        <w:t>2.建设标准。</w:t>
      </w:r>
      <w:r>
        <w:rPr>
          <w:rFonts w:hint="default" w:ascii="Times New Roman" w:hAnsi="Times New Roman" w:eastAsia="仿宋_GB2312" w:cs="Times New Roman"/>
          <w:snapToGrid w:val="0"/>
          <w:color w:val="000000"/>
          <w:szCs w:val="32"/>
        </w:rPr>
        <w:t>园区选址科学，设计合理，建设规范，注重应用新材料、新技术，有效提高土地和光热利用率。高效节能或土堆日光温室：标准钢架结构，跨度7米以上、脊高</w:t>
      </w:r>
      <w:r>
        <w:rPr>
          <w:rFonts w:hint="default" w:ascii="Times New Roman" w:hAnsi="Times New Roman" w:eastAsia="仿宋_GB2312" w:cs="Times New Roman"/>
          <w:snapToGrid w:val="0"/>
          <w:color w:val="000000"/>
          <w:szCs w:val="32"/>
          <w:lang w:val="en-US" w:eastAsia="zh-CN"/>
        </w:rPr>
        <w:t>2.8</w:t>
      </w:r>
      <w:r>
        <w:rPr>
          <w:rFonts w:hint="default" w:ascii="Times New Roman" w:hAnsi="Times New Roman" w:eastAsia="仿宋_GB2312" w:cs="Times New Roman"/>
          <w:snapToGrid w:val="0"/>
          <w:color w:val="000000"/>
          <w:szCs w:val="32"/>
        </w:rPr>
        <w:t>米以上、面积500平方米以上，以高透光覆盖材料作为屋面，用土、砖或多层保温材料做成围墙，冬季能正常生产。标准化塑料大棚：钢架结构，跨度8米以上、脊高</w:t>
      </w:r>
      <w:r>
        <w:rPr>
          <w:rFonts w:hint="default" w:ascii="Times New Roman" w:hAnsi="Times New Roman" w:eastAsia="仿宋_GB2312" w:cs="Times New Roman"/>
          <w:snapToGrid w:val="0"/>
          <w:color w:val="000000"/>
          <w:szCs w:val="32"/>
          <w:lang w:val="en-US" w:eastAsia="zh-CN"/>
        </w:rPr>
        <w:t>2.8</w:t>
      </w:r>
      <w:r>
        <w:rPr>
          <w:rFonts w:hint="default" w:ascii="Times New Roman" w:hAnsi="Times New Roman" w:eastAsia="仿宋_GB2312" w:cs="Times New Roman"/>
          <w:snapToGrid w:val="0"/>
          <w:color w:val="000000"/>
          <w:szCs w:val="32"/>
        </w:rPr>
        <w:t>米以上、面积667平方米以上</w:t>
      </w:r>
      <w:r>
        <w:rPr>
          <w:rFonts w:hint="default" w:ascii="Times New Roman" w:hAnsi="Times New Roman" w:eastAsia="仿宋_GB2312" w:cs="Times New Roman"/>
          <w:snapToGrid w:val="0"/>
          <w:color w:val="000000"/>
          <w:szCs w:val="32"/>
          <w:lang w:eastAsia="zh-CN"/>
        </w:rPr>
        <w:t>。</w:t>
      </w:r>
      <w:r>
        <w:rPr>
          <w:rFonts w:hint="default" w:ascii="Times New Roman" w:hAnsi="Times New Roman" w:eastAsia="仿宋_GB2312" w:cs="Times New Roman"/>
          <w:snapToGrid w:val="0"/>
          <w:color w:val="000000"/>
          <w:szCs w:val="32"/>
        </w:rPr>
        <w:t>对于</w:t>
      </w:r>
      <w:r>
        <w:rPr>
          <w:rFonts w:hint="default" w:ascii="Times New Roman" w:hAnsi="Times New Roman" w:eastAsia="仿宋_GB2312" w:cs="Times New Roman"/>
          <w:snapToGrid w:val="0"/>
          <w:color w:val="000000"/>
          <w:szCs w:val="32"/>
          <w:lang w:eastAsia="zh-CN"/>
        </w:rPr>
        <w:t>食用菌棚室或</w:t>
      </w:r>
      <w:r>
        <w:rPr>
          <w:rFonts w:hint="default" w:ascii="Times New Roman" w:hAnsi="Times New Roman" w:eastAsia="仿宋_GB2312" w:cs="Times New Roman"/>
          <w:snapToGrid w:val="0"/>
          <w:color w:val="000000"/>
          <w:szCs w:val="32"/>
        </w:rPr>
        <w:t>个别受地势影响等原因，单栋棚室面积没有达到上述标准的，以园区为单位多栋累加计算棚室面积</w:t>
      </w:r>
      <w:r>
        <w:rPr>
          <w:rFonts w:hint="default" w:ascii="Times New Roman" w:hAnsi="Times New Roman" w:eastAsia="仿宋_GB2312" w:cs="Times New Roman"/>
          <w:snapToGrid w:val="0"/>
          <w:color w:val="000000"/>
          <w:szCs w:val="32"/>
          <w:lang w:eastAsia="zh-CN"/>
        </w:rPr>
        <w:t>，</w:t>
      </w:r>
      <w:r>
        <w:rPr>
          <w:rFonts w:hint="default" w:ascii="Times New Roman" w:hAnsi="Times New Roman" w:eastAsia="仿宋_GB2312" w:cs="Times New Roman"/>
          <w:snapToGrid w:val="0"/>
          <w:color w:val="000000"/>
          <w:szCs w:val="32"/>
        </w:rPr>
        <w:t>并与园区等级相对应。</w:t>
      </w:r>
    </w:p>
    <w:p w14:paraId="631F1B6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napToGrid w:val="0"/>
          <w:color w:val="000000"/>
          <w:szCs w:val="32"/>
          <w:lang w:val="en-US" w:eastAsia="zh-CN"/>
        </w:rPr>
        <w:t>3.</w:t>
      </w:r>
      <w:r>
        <w:rPr>
          <w:rFonts w:hint="default" w:ascii="Times New Roman" w:hAnsi="Times New Roman" w:eastAsia="仿宋_GB2312" w:cs="Times New Roman"/>
          <w:b/>
          <w:bCs/>
          <w:sz w:val="32"/>
          <w:szCs w:val="32"/>
        </w:rPr>
        <w:t>补助标准。</w:t>
      </w:r>
      <w:r>
        <w:rPr>
          <w:rFonts w:hint="default" w:ascii="Times New Roman" w:hAnsi="Times New Roman" w:eastAsia="黑体" w:cs="Times New Roman"/>
          <w:sz w:val="32"/>
          <w:szCs w:val="32"/>
          <w:lang w:eastAsia="zh-CN"/>
        </w:rPr>
        <w:t>普通规模园区：</w:t>
      </w:r>
      <w:r>
        <w:rPr>
          <w:rFonts w:hint="default" w:ascii="Times New Roman" w:hAnsi="Times New Roman" w:eastAsia="仿宋_GB2312" w:cs="Times New Roman"/>
          <w:sz w:val="32"/>
          <w:szCs w:val="32"/>
        </w:rPr>
        <w:t>新建集中连片规模园区按</w:t>
      </w:r>
      <w:r>
        <w:rPr>
          <w:rFonts w:hint="default" w:ascii="Times New Roman" w:hAnsi="Times New Roman" w:eastAsia="仿宋_GB2312" w:cs="Times New Roman"/>
          <w:sz w:val="32"/>
          <w:szCs w:val="32"/>
          <w:lang w:val="en-US" w:eastAsia="zh-CN"/>
        </w:rPr>
        <w:t>设施</w:t>
      </w:r>
      <w:r>
        <w:rPr>
          <w:rFonts w:hint="default" w:ascii="Times New Roman" w:hAnsi="Times New Roman" w:eastAsia="仿宋_GB2312" w:cs="Times New Roman"/>
          <w:sz w:val="32"/>
          <w:szCs w:val="32"/>
        </w:rPr>
        <w:t>面积划分为四级，按照逐级递增补助比例的原则，先建后补，多建多补。其中，一级园区（</w:t>
      </w:r>
      <w:r>
        <w:rPr>
          <w:rFonts w:hint="default" w:ascii="Times New Roman" w:hAnsi="Times New Roman" w:eastAsia="仿宋_GB2312" w:cs="Times New Roman"/>
          <w:sz w:val="32"/>
          <w:szCs w:val="32"/>
          <w:lang w:val="en-US" w:eastAsia="zh-CN"/>
        </w:rPr>
        <w:t>设施</w:t>
      </w:r>
      <w:r>
        <w:rPr>
          <w:rFonts w:hint="default" w:ascii="Times New Roman" w:hAnsi="Times New Roman" w:eastAsia="仿宋_GB2312" w:cs="Times New Roman"/>
          <w:sz w:val="32"/>
          <w:szCs w:val="32"/>
        </w:rPr>
        <w:t>面积30-49亩），新建每亩高效标准化日光温室补助13000元、土堆温室补助9000元、塑料大棚补助5000元。以一级园区为基准，二级园区（</w:t>
      </w:r>
      <w:r>
        <w:rPr>
          <w:rFonts w:hint="default" w:ascii="Times New Roman" w:hAnsi="Times New Roman" w:eastAsia="仿宋_GB2312" w:cs="Times New Roman"/>
          <w:sz w:val="32"/>
          <w:szCs w:val="32"/>
          <w:lang w:val="en-US" w:eastAsia="zh-CN"/>
        </w:rPr>
        <w:t>设施</w:t>
      </w:r>
      <w:r>
        <w:rPr>
          <w:rFonts w:hint="default" w:ascii="Times New Roman" w:hAnsi="Times New Roman" w:eastAsia="仿宋_GB2312" w:cs="Times New Roman"/>
          <w:sz w:val="32"/>
          <w:szCs w:val="32"/>
        </w:rPr>
        <w:t>面积50-69亩），补助比例上浮50%；三级园区（</w:t>
      </w:r>
      <w:r>
        <w:rPr>
          <w:rFonts w:hint="default" w:ascii="Times New Roman" w:hAnsi="Times New Roman" w:eastAsia="仿宋_GB2312" w:cs="Times New Roman"/>
          <w:sz w:val="32"/>
          <w:szCs w:val="32"/>
          <w:lang w:val="en-US" w:eastAsia="zh-CN"/>
        </w:rPr>
        <w:t>设施</w:t>
      </w:r>
      <w:r>
        <w:rPr>
          <w:rFonts w:hint="default" w:ascii="Times New Roman" w:hAnsi="Times New Roman" w:eastAsia="仿宋_GB2312" w:cs="Times New Roman"/>
          <w:sz w:val="32"/>
          <w:szCs w:val="32"/>
        </w:rPr>
        <w:t>面积70-99亩），补助比例上浮100%；四级园区（</w:t>
      </w:r>
      <w:r>
        <w:rPr>
          <w:rFonts w:hint="default" w:ascii="Times New Roman" w:hAnsi="Times New Roman" w:eastAsia="仿宋_GB2312" w:cs="Times New Roman"/>
          <w:sz w:val="32"/>
          <w:szCs w:val="32"/>
          <w:lang w:val="en-US" w:eastAsia="zh-CN"/>
        </w:rPr>
        <w:t>设施</w:t>
      </w:r>
      <w:r>
        <w:rPr>
          <w:rFonts w:hint="default" w:ascii="Times New Roman" w:hAnsi="Times New Roman" w:eastAsia="仿宋_GB2312" w:cs="Times New Roman"/>
          <w:sz w:val="32"/>
          <w:szCs w:val="32"/>
        </w:rPr>
        <w:t>面积100 亩以上），补助比例上浮200%。</w:t>
      </w:r>
      <w:r>
        <w:rPr>
          <w:rFonts w:hint="default" w:ascii="Times New Roman" w:hAnsi="Times New Roman" w:eastAsia="仿宋_GB2312" w:cs="Times New Roman"/>
          <w:sz w:val="32"/>
          <w:szCs w:val="32"/>
          <w:lang w:eastAsia="zh-CN"/>
        </w:rPr>
        <w:t>高标准大型连栋棚室参照日光温室给予补贴。</w:t>
      </w:r>
      <w:r>
        <w:rPr>
          <w:rFonts w:hint="default" w:ascii="Times New Roman" w:hAnsi="Times New Roman" w:eastAsia="黑体" w:cs="Times New Roman"/>
          <w:sz w:val="32"/>
          <w:szCs w:val="32"/>
        </w:rPr>
        <w:t>大型设施园区</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支持在盐碱地等未利用地上建设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2"/>
          <w:sz w:val="32"/>
          <w:szCs w:val="32"/>
          <w:lang w:val="en-US" w:eastAsia="zh-CN" w:bidi="ar-SA"/>
        </w:rPr>
        <w:t>土地性质以第三次全国土地调查分类为主要依据，并附相关证明材料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单个园区新建高效节能日光温室和标准化塑料大棚达300亩以上的，按照温室5万元/亩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塑料大棚2万元/亩</w:t>
      </w:r>
      <w:r>
        <w:rPr>
          <w:rFonts w:hint="default" w:ascii="Times New Roman" w:hAnsi="Times New Roman" w:eastAsia="仿宋_GB2312" w:cs="Times New Roman"/>
          <w:sz w:val="32"/>
          <w:szCs w:val="32"/>
          <w:lang w:eastAsia="zh-CN"/>
        </w:rPr>
        <w:t>补助</w:t>
      </w:r>
      <w:r>
        <w:rPr>
          <w:rFonts w:hint="default" w:ascii="Times New Roman" w:hAnsi="Times New Roman" w:eastAsia="仿宋_GB2312" w:cs="Times New Roman"/>
          <w:sz w:val="32"/>
          <w:szCs w:val="32"/>
        </w:rPr>
        <w:t>。单个园区新建高效节能日光温室和标准化塑料大棚达</w:t>
      </w:r>
      <w:r>
        <w:rPr>
          <w:rFonts w:hint="default" w:ascii="Times New Roman" w:hAnsi="Times New Roman" w:eastAsia="仿宋_GB2312" w:cs="Times New Roman"/>
          <w:sz w:val="32"/>
          <w:szCs w:val="32"/>
          <w:lang w:eastAsia="zh-CN"/>
        </w:rPr>
        <w:t>到</w:t>
      </w:r>
      <w:r>
        <w:rPr>
          <w:rFonts w:hint="default" w:ascii="Times New Roman" w:hAnsi="Times New Roman" w:eastAsia="仿宋_GB2312" w:cs="Times New Roman"/>
          <w:sz w:val="32"/>
          <w:szCs w:val="32"/>
        </w:rPr>
        <w:t>500亩以上的，按照温室6万元/亩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塑料大棚2.5万元/亩</w:t>
      </w:r>
      <w:r>
        <w:rPr>
          <w:rFonts w:hint="default" w:ascii="Times New Roman" w:hAnsi="Times New Roman" w:eastAsia="仿宋_GB2312" w:cs="Times New Roman"/>
          <w:sz w:val="32"/>
          <w:szCs w:val="32"/>
          <w:lang w:eastAsia="zh-CN"/>
        </w:rPr>
        <w:t>补助</w:t>
      </w:r>
      <w:r>
        <w:rPr>
          <w:rFonts w:hint="default" w:ascii="Times New Roman" w:hAnsi="Times New Roman" w:eastAsia="仿宋_GB2312" w:cs="Times New Roman"/>
          <w:sz w:val="32"/>
          <w:szCs w:val="32"/>
        </w:rPr>
        <w:t>。</w:t>
      </w:r>
    </w:p>
    <w:p w14:paraId="3B313E1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val="en-US" w:eastAsia="zh-CN"/>
        </w:rPr>
        <w:t>（二）</w:t>
      </w:r>
      <w:r>
        <w:rPr>
          <w:rFonts w:hint="default" w:ascii="Times New Roman" w:hAnsi="Times New Roman" w:eastAsia="楷体_GB2312" w:cs="Times New Roman"/>
          <w:b w:val="0"/>
          <w:bCs w:val="0"/>
          <w:sz w:val="32"/>
          <w:szCs w:val="32"/>
        </w:rPr>
        <w:t>支持育苗中心建设</w:t>
      </w:r>
    </w:p>
    <w:p w14:paraId="044542F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bCs/>
          <w:sz w:val="32"/>
          <w:szCs w:val="32"/>
          <w:lang w:val="en-US" w:eastAsia="zh-CN"/>
        </w:rPr>
        <w:t>1.</w:t>
      </w:r>
      <w:r>
        <w:rPr>
          <w:rFonts w:hint="default" w:ascii="Times New Roman" w:hAnsi="Times New Roman" w:eastAsia="仿宋_GB2312" w:cs="Times New Roman"/>
          <w:b/>
          <w:bCs/>
          <w:sz w:val="32"/>
          <w:szCs w:val="32"/>
        </w:rPr>
        <w:t>支持重点</w:t>
      </w:r>
      <w:r>
        <w:rPr>
          <w:rFonts w:hint="default" w:ascii="Times New Roman" w:hAnsi="Times New Roman" w:eastAsia="仿宋_GB2312" w:cs="Times New Roman"/>
          <w:sz w:val="32"/>
          <w:szCs w:val="32"/>
        </w:rPr>
        <w:t>。以优势产区为重点，以县（市、区）为单位，按照“县级申报、市级初审、省级评审”的原则，</w:t>
      </w:r>
      <w:r>
        <w:rPr>
          <w:rFonts w:hint="default" w:ascii="Times New Roman" w:hAnsi="Times New Roman" w:eastAsia="仿宋_GB2312" w:cs="Times New Roman"/>
          <w:sz w:val="32"/>
          <w:szCs w:val="32"/>
          <w:lang w:eastAsia="zh-CN"/>
        </w:rPr>
        <w:t>年度</w:t>
      </w:r>
      <w:r>
        <w:rPr>
          <w:rFonts w:hint="default" w:ascii="Times New Roman" w:hAnsi="Times New Roman" w:eastAsia="仿宋_GB2312" w:cs="Times New Roman"/>
          <w:sz w:val="32"/>
          <w:szCs w:val="32"/>
        </w:rPr>
        <w:t>遴选不超过5个项目实施试点县。</w:t>
      </w:r>
    </w:p>
    <w:p w14:paraId="76288D1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支持方向和补助标准</w:t>
      </w:r>
      <w:r>
        <w:rPr>
          <w:rFonts w:hint="default" w:ascii="Times New Roman" w:hAnsi="Times New Roman" w:eastAsia="仿宋_GB2312" w:cs="Times New Roman"/>
          <w:sz w:val="32"/>
          <w:szCs w:val="32"/>
        </w:rPr>
        <w:t>。支持建设标准化育苗中心和老旧育苗中心提质增效，要求</w:t>
      </w:r>
      <w:r>
        <w:rPr>
          <w:rFonts w:hint="default" w:ascii="Times New Roman" w:hAnsi="Times New Roman" w:eastAsia="仿宋_GB2312" w:cs="Times New Roman"/>
          <w:sz w:val="32"/>
          <w:szCs w:val="32"/>
          <w:lang w:eastAsia="zh-CN"/>
        </w:rPr>
        <w:t>育苗</w:t>
      </w:r>
      <w:r>
        <w:rPr>
          <w:rFonts w:hint="default" w:ascii="Times New Roman" w:hAnsi="Times New Roman" w:eastAsia="仿宋_GB2312" w:cs="Times New Roman"/>
          <w:sz w:val="32"/>
          <w:szCs w:val="32"/>
        </w:rPr>
        <w:t>面积5000平方米以上，新建育苗中心育苗能力1000万株以上或老旧育苗中心改造后育苗能力1000万株以上的。按照不超过建设设施总造价的30%、每个项目县最高不超过</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00万元的“双限”标准给予补助。</w:t>
      </w:r>
    </w:p>
    <w:p w14:paraId="77C0590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val="en-US" w:eastAsia="zh-CN"/>
        </w:rPr>
        <w:t>（三）支持</w:t>
      </w:r>
      <w:r>
        <w:rPr>
          <w:rFonts w:hint="default" w:ascii="Times New Roman" w:hAnsi="Times New Roman" w:eastAsia="楷体_GB2312" w:cs="Times New Roman"/>
          <w:b w:val="0"/>
          <w:bCs w:val="0"/>
          <w:color w:val="auto"/>
          <w:sz w:val="32"/>
          <w:szCs w:val="32"/>
          <w:lang w:eastAsia="zh-CN"/>
        </w:rPr>
        <w:t>食用菌智慧菌仓（植物工厂）建设</w:t>
      </w:r>
    </w:p>
    <w:p w14:paraId="2587717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b/>
          <w:bCs/>
          <w:sz w:val="32"/>
          <w:szCs w:val="32"/>
          <w:lang w:val="en-US" w:eastAsia="zh-CN"/>
        </w:rPr>
        <w:t>1.</w:t>
      </w:r>
      <w:r>
        <w:rPr>
          <w:rFonts w:hint="default" w:ascii="Times New Roman" w:hAnsi="Times New Roman" w:eastAsia="仿宋_GB2312" w:cs="Times New Roman"/>
          <w:b/>
          <w:bCs/>
          <w:sz w:val="32"/>
          <w:szCs w:val="32"/>
        </w:rPr>
        <w:t>补助对象和范围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支持农户或合作社、家庭农场、</w:t>
      </w:r>
      <w:r>
        <w:rPr>
          <w:rFonts w:hint="default" w:ascii="Times New Roman" w:hAnsi="Times New Roman" w:eastAsia="仿宋_GB2312" w:cs="Times New Roman"/>
          <w:sz w:val="32"/>
          <w:szCs w:val="32"/>
          <w:lang w:eastAsia="zh-CN"/>
        </w:rPr>
        <w:t>农业</w:t>
      </w:r>
      <w:r>
        <w:rPr>
          <w:rFonts w:hint="default" w:ascii="Times New Roman" w:hAnsi="Times New Roman" w:eastAsia="仿宋_GB2312" w:cs="Times New Roman"/>
          <w:sz w:val="32"/>
          <w:szCs w:val="32"/>
        </w:rPr>
        <w:t>企业等各类投资建设主体</w:t>
      </w:r>
      <w:r>
        <w:rPr>
          <w:rFonts w:hint="default" w:ascii="Times New Roman" w:hAnsi="Times New Roman" w:eastAsia="仿宋_GB2312" w:cs="Times New Roman"/>
          <w:sz w:val="32"/>
          <w:szCs w:val="32"/>
          <w:lang w:eastAsia="zh-CN"/>
        </w:rPr>
        <w:t>，主要用于食用菌和果蔬等工厂化生产、立体化栽培。</w:t>
      </w:r>
    </w:p>
    <w:p w14:paraId="23268BE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2.建设和补助标准。</w:t>
      </w:r>
      <w:r>
        <w:rPr>
          <w:rFonts w:hint="default" w:ascii="Times New Roman" w:hAnsi="Times New Roman" w:eastAsia="仿宋_GB2312" w:cs="Times New Roman"/>
          <w:sz w:val="32"/>
          <w:szCs w:val="32"/>
          <w:lang w:eastAsia="zh-CN"/>
        </w:rPr>
        <w:t>食用菌智慧菌仓面积超过</w:t>
      </w:r>
      <w:r>
        <w:rPr>
          <w:rFonts w:hint="default" w:ascii="Times New Roman" w:hAnsi="Times New Roman" w:eastAsia="仿宋_GB2312" w:cs="Times New Roman"/>
          <w:sz w:val="32"/>
          <w:szCs w:val="32"/>
          <w:lang w:val="en-US" w:eastAsia="zh-CN"/>
        </w:rPr>
        <w:t>30平方米以上、生产环境智能化控制的，每个菌</w:t>
      </w:r>
      <w:r>
        <w:rPr>
          <w:rFonts w:hint="default" w:ascii="Times New Roman" w:hAnsi="Times New Roman" w:eastAsia="仿宋_GB2312" w:cs="Times New Roman"/>
          <w:sz w:val="32"/>
          <w:szCs w:val="32"/>
          <w:lang w:eastAsia="zh-CN"/>
        </w:rPr>
        <w:t>仓补助</w:t>
      </w:r>
      <w:r>
        <w:rPr>
          <w:rFonts w:hint="default" w:ascii="Times New Roman" w:hAnsi="Times New Roman" w:eastAsia="仿宋_GB2312" w:cs="Times New Roman"/>
          <w:sz w:val="32"/>
          <w:szCs w:val="32"/>
          <w:lang w:val="en-US" w:eastAsia="zh-CN"/>
        </w:rPr>
        <w:t>2万元；其他</w:t>
      </w:r>
      <w:r>
        <w:rPr>
          <w:rFonts w:hint="default" w:ascii="Times New Roman" w:hAnsi="Times New Roman" w:eastAsia="仿宋_GB2312" w:cs="Times New Roman"/>
          <w:sz w:val="32"/>
          <w:szCs w:val="32"/>
          <w:lang w:eastAsia="zh-CN"/>
        </w:rPr>
        <w:t>果蔬等工厂化生产、立体化栽培不低于</w:t>
      </w:r>
      <w:r>
        <w:rPr>
          <w:rFonts w:hint="default" w:ascii="Times New Roman" w:hAnsi="Times New Roman" w:eastAsia="仿宋_GB2312" w:cs="Times New Roman"/>
          <w:sz w:val="32"/>
          <w:szCs w:val="32"/>
          <w:lang w:val="en-US" w:eastAsia="zh-CN"/>
        </w:rPr>
        <w:t>5层、</w:t>
      </w:r>
      <w:r>
        <w:rPr>
          <w:rFonts w:hint="default" w:ascii="Times New Roman" w:hAnsi="Times New Roman" w:eastAsia="仿宋_GB2312" w:cs="Times New Roman"/>
          <w:sz w:val="32"/>
          <w:szCs w:val="32"/>
          <w:lang w:eastAsia="zh-CN"/>
        </w:rPr>
        <w:t>设施建设占地面积超过</w:t>
      </w:r>
      <w:r>
        <w:rPr>
          <w:rFonts w:hint="default" w:ascii="Times New Roman" w:hAnsi="Times New Roman" w:eastAsia="仿宋_GB2312" w:cs="Times New Roman"/>
          <w:sz w:val="32"/>
          <w:szCs w:val="32"/>
          <w:lang w:val="en-US" w:eastAsia="zh-CN"/>
        </w:rPr>
        <w:t>100平方米以上的，按实际占地面积每平方米补助300元</w:t>
      </w:r>
      <w:r>
        <w:rPr>
          <w:rFonts w:hint="default" w:ascii="Times New Roman" w:hAnsi="Times New Roman" w:eastAsia="仿宋_GB2312" w:cs="Times New Roman"/>
          <w:sz w:val="32"/>
          <w:szCs w:val="32"/>
          <w:lang w:eastAsia="zh-CN"/>
        </w:rPr>
        <w:t>。同时，补助额度不超过设施总造价的</w:t>
      </w:r>
      <w:r>
        <w:rPr>
          <w:rFonts w:hint="default" w:ascii="Times New Roman" w:hAnsi="Times New Roman" w:eastAsia="仿宋_GB2312" w:cs="Times New Roman"/>
          <w:sz w:val="32"/>
          <w:szCs w:val="32"/>
          <w:lang w:val="en-US" w:eastAsia="zh-CN"/>
        </w:rPr>
        <w:t>30%。</w:t>
      </w:r>
    </w:p>
    <w:p w14:paraId="44ADC65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以上三类项目，由各级财政资金及政府专项债</w:t>
      </w:r>
      <w:r>
        <w:rPr>
          <w:rFonts w:hint="default" w:ascii="Times New Roman" w:hAnsi="Times New Roman" w:eastAsia="仿宋_GB2312" w:cs="Times New Roman"/>
          <w:sz w:val="32"/>
          <w:szCs w:val="32"/>
          <w:lang w:eastAsia="zh-CN"/>
        </w:rPr>
        <w:t>直接</w:t>
      </w:r>
      <w:r>
        <w:rPr>
          <w:rFonts w:hint="default" w:ascii="Times New Roman" w:hAnsi="Times New Roman" w:eastAsia="仿宋_GB2312" w:cs="Times New Roman"/>
          <w:sz w:val="32"/>
          <w:szCs w:val="32"/>
        </w:rPr>
        <w:t>投资建设的</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不纳入补助范围（地方政府实施先建后补、进行叠加补助的除外）。对</w:t>
      </w:r>
      <w:r>
        <w:rPr>
          <w:rFonts w:hint="default" w:ascii="Times New Roman" w:hAnsi="Times New Roman" w:eastAsia="仿宋_GB2312" w:cs="Times New Roman"/>
          <w:sz w:val="32"/>
          <w:szCs w:val="32"/>
          <w:lang w:eastAsia="zh-CN"/>
        </w:rPr>
        <w:t>上</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启动建设并于</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竣工验收的续建项目，符合补助标准条件的，可按规定申报补助。</w:t>
      </w:r>
    </w:p>
    <w:p w14:paraId="49045F17">
      <w:pPr>
        <w:keepNext w:val="0"/>
        <w:keepLines w:val="0"/>
        <w:pageBreakBefore w:val="0"/>
        <w:widowControl w:val="0"/>
        <w:kinsoku/>
        <w:wordWrap/>
        <w:topLinePunct w:val="0"/>
        <w:autoSpaceDE/>
        <w:bidi w:val="0"/>
        <w:adjustRightInd w:val="0"/>
        <w:snapToGrid w:val="0"/>
        <w:spacing w:line="560" w:lineRule="exact"/>
        <w:ind w:left="0" w:leftChars="0" w:firstLine="640" w:firstLineChars="200"/>
        <w:textAlignment w:val="auto"/>
        <w:rPr>
          <w:rFonts w:hint="default" w:ascii="Times New Roman" w:hAnsi="Times New Roman" w:eastAsia="国标黑体" w:cs="Times New Roman"/>
          <w:b w:val="0"/>
          <w:bCs w:val="0"/>
          <w:snapToGrid w:val="0"/>
          <w:color w:val="000000"/>
          <w:szCs w:val="32"/>
          <w:lang w:eastAsia="zh-CN"/>
        </w:rPr>
      </w:pPr>
      <w:r>
        <w:rPr>
          <w:rFonts w:hint="default" w:ascii="Times New Roman" w:hAnsi="Times New Roman" w:eastAsia="国标黑体" w:cs="Times New Roman"/>
          <w:b w:val="0"/>
          <w:bCs w:val="0"/>
          <w:snapToGrid w:val="0"/>
          <w:color w:val="000000"/>
          <w:szCs w:val="32"/>
          <w:lang w:eastAsia="zh-CN"/>
        </w:rPr>
        <w:t>三、申报程序及时限要求</w:t>
      </w:r>
    </w:p>
    <w:p w14:paraId="26C104FB">
      <w:pPr>
        <w:keepNext w:val="0"/>
        <w:keepLines w:val="0"/>
        <w:pageBreakBefore w:val="0"/>
        <w:widowControl w:val="0"/>
        <w:kinsoku/>
        <w:wordWrap/>
        <w:topLinePunct w:val="0"/>
        <w:autoSpaceDE/>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snapToGrid w:val="0"/>
          <w:color w:val="000000"/>
          <w:szCs w:val="32"/>
          <w:lang w:eastAsia="zh-CN"/>
        </w:rPr>
        <w:t>（一）设施园区和</w:t>
      </w:r>
      <w:r>
        <w:rPr>
          <w:rFonts w:hint="default" w:ascii="Times New Roman" w:hAnsi="Times New Roman" w:eastAsia="楷体_GB2312" w:cs="Times New Roman"/>
          <w:b w:val="0"/>
          <w:bCs w:val="0"/>
          <w:color w:val="auto"/>
          <w:sz w:val="32"/>
          <w:szCs w:val="32"/>
          <w:lang w:eastAsia="zh-CN"/>
        </w:rPr>
        <w:t>食用菌智慧菌仓（植物工厂）建设项目</w:t>
      </w:r>
    </w:p>
    <w:p w14:paraId="69D412A8">
      <w:pPr>
        <w:keepNext w:val="0"/>
        <w:keepLines w:val="0"/>
        <w:pageBreakBefore w:val="0"/>
        <w:widowControl w:val="0"/>
        <w:kinsoku/>
        <w:wordWrap/>
        <w:topLinePunct w:val="0"/>
        <w:autoSpaceDE/>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color w:val="000000"/>
          <w:szCs w:val="32"/>
        </w:rPr>
        <w:t>按照“实施主体</w:t>
      </w:r>
      <w:r>
        <w:rPr>
          <w:rFonts w:hint="default" w:ascii="Times New Roman" w:hAnsi="Times New Roman" w:eastAsia="仿宋_GB2312" w:cs="Times New Roman"/>
          <w:snapToGrid w:val="0"/>
          <w:color w:val="000000"/>
          <w:szCs w:val="32"/>
          <w:lang w:eastAsia="zh-CN"/>
        </w:rPr>
        <w:t>自主</w:t>
      </w:r>
      <w:r>
        <w:rPr>
          <w:rFonts w:hint="default" w:ascii="Times New Roman" w:hAnsi="Times New Roman" w:eastAsia="仿宋_GB2312" w:cs="Times New Roman"/>
          <w:snapToGrid w:val="0"/>
          <w:color w:val="000000"/>
          <w:szCs w:val="32"/>
        </w:rPr>
        <w:t>申报，县级验收、市级复核、省级抽查”的原则，符合项目申报条件的投资建设主体，主动向项目所在地县级农业农村局申报。</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日前，县级农业农村</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完成辖区</w:t>
      </w:r>
      <w:r>
        <w:rPr>
          <w:rFonts w:hint="default" w:ascii="Times New Roman" w:hAnsi="Times New Roman" w:eastAsia="仿宋_GB2312" w:cs="Times New Roman"/>
          <w:sz w:val="32"/>
          <w:szCs w:val="32"/>
          <w:lang w:eastAsia="zh-CN"/>
        </w:rPr>
        <w:t>设施园艺项目</w:t>
      </w:r>
      <w:r>
        <w:rPr>
          <w:rFonts w:hint="default" w:ascii="Times New Roman" w:hAnsi="Times New Roman" w:eastAsia="仿宋_GB2312" w:cs="Times New Roman"/>
          <w:sz w:val="32"/>
          <w:szCs w:val="32"/>
        </w:rPr>
        <w:t>验收，向市级提交复核验收申请。12月1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日前，市（州）农业农村</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对辖区</w:t>
      </w:r>
      <w:r>
        <w:rPr>
          <w:rFonts w:hint="default" w:ascii="Times New Roman" w:hAnsi="Times New Roman" w:eastAsia="仿宋_GB2312" w:cs="Times New Roman"/>
          <w:sz w:val="32"/>
          <w:szCs w:val="32"/>
          <w:lang w:eastAsia="zh-CN"/>
        </w:rPr>
        <w:t>设施园艺项目进行</w:t>
      </w:r>
      <w:r>
        <w:rPr>
          <w:rFonts w:hint="default" w:ascii="Times New Roman" w:hAnsi="Times New Roman" w:eastAsia="仿宋_GB2312" w:cs="Times New Roman"/>
          <w:sz w:val="32"/>
          <w:szCs w:val="32"/>
        </w:rPr>
        <w:t>复核确认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向省农业农村厅报</w:t>
      </w:r>
      <w:r>
        <w:rPr>
          <w:rFonts w:hint="default" w:ascii="Times New Roman" w:hAnsi="Times New Roman" w:eastAsia="仿宋_GB2312" w:cs="Times New Roman"/>
          <w:sz w:val="32"/>
          <w:szCs w:val="32"/>
          <w:lang w:eastAsia="zh-CN"/>
        </w:rPr>
        <w:t>送</w:t>
      </w:r>
      <w:r>
        <w:rPr>
          <w:rFonts w:hint="default" w:ascii="Times New Roman" w:hAnsi="Times New Roman" w:eastAsia="仿宋_GB2312" w:cs="Times New Roman"/>
          <w:sz w:val="32"/>
          <w:szCs w:val="32"/>
        </w:rPr>
        <w:t>复核确认</w:t>
      </w:r>
      <w:r>
        <w:rPr>
          <w:rFonts w:hint="default" w:ascii="Times New Roman" w:hAnsi="Times New Roman" w:eastAsia="仿宋_GB2312" w:cs="Times New Roman"/>
          <w:sz w:val="32"/>
          <w:szCs w:val="32"/>
          <w:lang w:eastAsia="zh-CN"/>
        </w:rPr>
        <w:t>情况报告</w:t>
      </w:r>
      <w:r>
        <w:rPr>
          <w:rFonts w:hint="default" w:ascii="Times New Roman" w:hAnsi="Times New Roman" w:eastAsia="仿宋_GB2312" w:cs="Times New Roman"/>
          <w:snapToGrid w:val="0"/>
          <w:color w:val="000000"/>
          <w:szCs w:val="32"/>
        </w:rPr>
        <w:t>（</w:t>
      </w:r>
      <w:r>
        <w:rPr>
          <w:rFonts w:hint="default" w:ascii="Times New Roman" w:hAnsi="Times New Roman" w:eastAsia="仿宋_GB2312" w:cs="Times New Roman"/>
          <w:snapToGrid w:val="0"/>
          <w:color w:val="000000"/>
          <w:szCs w:val="32"/>
          <w:lang w:eastAsia="zh-CN"/>
        </w:rPr>
        <w:t>并附</w:t>
      </w:r>
      <w:r>
        <w:rPr>
          <w:rFonts w:hint="default" w:ascii="Times New Roman" w:hAnsi="Times New Roman" w:eastAsia="仿宋_GB2312" w:cs="Times New Roman"/>
          <w:snapToGrid w:val="0"/>
          <w:color w:val="000000"/>
          <w:szCs w:val="32"/>
        </w:rPr>
        <w:t>市县验收报告和全市汇总表）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12月30日前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eastAsia="zh-CN"/>
        </w:rPr>
        <w:t>农业农村厅聘请第三方机构按照</w:t>
      </w:r>
      <w:r>
        <w:rPr>
          <w:rFonts w:hint="default" w:ascii="Times New Roman" w:hAnsi="Times New Roman" w:eastAsia="仿宋_GB2312" w:cs="Times New Roman"/>
          <w:sz w:val="32"/>
          <w:szCs w:val="32"/>
        </w:rPr>
        <w:t>不低于</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比例</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eastAsia="zh-CN"/>
        </w:rPr>
        <w:t>抽查验收，对</w:t>
      </w:r>
      <w:r>
        <w:rPr>
          <w:rFonts w:hint="default" w:ascii="Times New Roman" w:hAnsi="Times New Roman" w:eastAsia="仿宋_GB2312" w:cs="Times New Roman"/>
          <w:sz w:val="32"/>
          <w:szCs w:val="32"/>
          <w:lang w:val="en-US" w:eastAsia="zh-CN"/>
        </w:rPr>
        <w:t>100亩以上园区省级全部实地核验，</w:t>
      </w:r>
      <w:r>
        <w:rPr>
          <w:rFonts w:hint="default" w:ascii="Times New Roman" w:hAnsi="Times New Roman" w:eastAsia="仿宋_GB2312" w:cs="Times New Roman"/>
          <w:sz w:val="32"/>
          <w:szCs w:val="32"/>
          <w:lang w:eastAsia="zh-CN"/>
        </w:rPr>
        <w:t>并核算最终补贴金额</w:t>
      </w:r>
      <w:r>
        <w:rPr>
          <w:rFonts w:hint="default" w:ascii="Times New Roman" w:hAnsi="Times New Roman" w:eastAsia="仿宋_GB2312" w:cs="Times New Roman"/>
          <w:sz w:val="32"/>
          <w:szCs w:val="32"/>
        </w:rPr>
        <w:t>。</w:t>
      </w:r>
    </w:p>
    <w:p w14:paraId="77BAC51C">
      <w:pPr>
        <w:keepNext w:val="0"/>
        <w:keepLines w:val="0"/>
        <w:pageBreakBefore w:val="0"/>
        <w:widowControl w:val="0"/>
        <w:kinsoku/>
        <w:wordWrap/>
        <w:topLinePunct w:val="0"/>
        <w:autoSpaceDE/>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（二）育苗中心项目</w:t>
      </w:r>
    </w:p>
    <w:p w14:paraId="16431208">
      <w:pPr>
        <w:keepNext w:val="0"/>
        <w:keepLines w:val="0"/>
        <w:pageBreakBefore w:val="0"/>
        <w:widowControl w:val="0"/>
        <w:kinsoku/>
        <w:wordWrap/>
        <w:topLinePunct w:val="0"/>
        <w:autoSpaceDE/>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napToGrid w:val="0"/>
          <w:color w:val="000000"/>
          <w:szCs w:val="32"/>
        </w:rPr>
      </w:pPr>
      <w:r>
        <w:rPr>
          <w:rFonts w:hint="default" w:ascii="Times New Roman" w:hAnsi="Times New Roman" w:eastAsia="仿宋_GB2312" w:cs="Times New Roman"/>
          <w:sz w:val="32"/>
          <w:szCs w:val="32"/>
        </w:rPr>
        <w:t>按照“县级申报、市级初审、省级评审”的</w:t>
      </w:r>
      <w:r>
        <w:rPr>
          <w:rFonts w:hint="default" w:ascii="Times New Roman" w:hAnsi="Times New Roman" w:eastAsia="仿宋_GB2312" w:cs="Times New Roman"/>
          <w:sz w:val="32"/>
          <w:szCs w:val="32"/>
          <w:lang w:eastAsia="zh-CN"/>
        </w:rPr>
        <w:t>程序，</w:t>
      </w:r>
      <w:r>
        <w:rPr>
          <w:rFonts w:hint="default" w:ascii="Times New Roman" w:hAnsi="Times New Roman" w:eastAsia="仿宋_GB2312" w:cs="Times New Roman"/>
          <w:sz w:val="32"/>
          <w:szCs w:val="32"/>
        </w:rPr>
        <w:t>遴选项目实施试点县。4月25日前，各县（市、区）农业农村和财政部门以正式文件将申报方案报送市级初审。4月30日前，经初审通过后，市级农业农村和财政部门以正式文件将申报材料报送省级评审，经省农业农村厅评审确定项目县后组织实施。</w:t>
      </w:r>
      <w:r>
        <w:rPr>
          <w:rFonts w:hint="default" w:ascii="Times New Roman" w:hAnsi="Times New Roman" w:eastAsia="仿宋_GB2312" w:cs="Times New Roman"/>
          <w:sz w:val="32"/>
          <w:szCs w:val="32"/>
          <w:lang w:eastAsia="zh-CN"/>
        </w:rPr>
        <w:t>项目验收参照设施园区和食用菌智慧菌仓（植物工厂）建设项目同步进行，</w:t>
      </w:r>
      <w:r>
        <w:rPr>
          <w:rFonts w:hint="default" w:ascii="Times New Roman" w:hAnsi="Times New Roman" w:eastAsia="仿宋_GB2312" w:cs="Times New Roman"/>
          <w:snapToGrid w:val="0"/>
          <w:color w:val="000000"/>
          <w:szCs w:val="32"/>
        </w:rPr>
        <w:t>省农业农村厅组织第三方机构</w:t>
      </w:r>
      <w:r>
        <w:rPr>
          <w:rFonts w:hint="default" w:ascii="Times New Roman" w:hAnsi="Times New Roman" w:eastAsia="仿宋_GB2312" w:cs="Times New Roman"/>
          <w:snapToGrid w:val="0"/>
          <w:color w:val="000000"/>
          <w:szCs w:val="32"/>
          <w:lang w:eastAsia="zh-CN"/>
        </w:rPr>
        <w:t>对育苗中心项目全部实地核验</w:t>
      </w:r>
      <w:r>
        <w:rPr>
          <w:rFonts w:hint="default" w:ascii="Times New Roman" w:hAnsi="Times New Roman" w:eastAsia="仿宋_GB2312" w:cs="Times New Roman"/>
          <w:snapToGrid w:val="0"/>
          <w:color w:val="000000"/>
          <w:szCs w:val="32"/>
        </w:rPr>
        <w:t>。</w:t>
      </w:r>
    </w:p>
    <w:p w14:paraId="416A3334">
      <w:pPr>
        <w:keepNext w:val="0"/>
        <w:keepLines w:val="0"/>
        <w:pageBreakBefore w:val="0"/>
        <w:widowControl w:val="0"/>
        <w:kinsoku/>
        <w:wordWrap/>
        <w:topLinePunct w:val="0"/>
        <w:autoSpaceDE/>
        <w:bidi w:val="0"/>
        <w:adjustRightInd w:val="0"/>
        <w:snapToGrid w:val="0"/>
        <w:spacing w:line="560" w:lineRule="exact"/>
        <w:ind w:left="0" w:leftChars="0" w:firstLine="640" w:firstLineChars="200"/>
        <w:textAlignment w:val="auto"/>
        <w:rPr>
          <w:rFonts w:hint="default" w:ascii="Times New Roman" w:hAnsi="Times New Roman" w:eastAsia="黑体" w:cs="Times New Roman"/>
          <w:snapToGrid w:val="0"/>
          <w:color w:val="000000"/>
          <w:szCs w:val="32"/>
        </w:rPr>
      </w:pPr>
      <w:r>
        <w:rPr>
          <w:rFonts w:hint="default" w:ascii="Times New Roman" w:hAnsi="Times New Roman" w:eastAsia="黑体" w:cs="Times New Roman"/>
          <w:snapToGrid w:val="0"/>
          <w:color w:val="000000"/>
          <w:szCs w:val="32"/>
          <w:lang w:eastAsia="zh-CN"/>
        </w:rPr>
        <w:t>四</w:t>
      </w:r>
      <w:r>
        <w:rPr>
          <w:rFonts w:hint="default" w:ascii="Times New Roman" w:hAnsi="Times New Roman" w:eastAsia="黑体" w:cs="Times New Roman"/>
          <w:snapToGrid w:val="0"/>
          <w:color w:val="000000"/>
          <w:szCs w:val="32"/>
        </w:rPr>
        <w:t>、工作要求</w:t>
      </w:r>
    </w:p>
    <w:p w14:paraId="3A635A1C">
      <w:pPr>
        <w:keepNext w:val="0"/>
        <w:keepLines w:val="0"/>
        <w:pageBreakBefore w:val="0"/>
        <w:widowControl w:val="0"/>
        <w:kinsoku/>
        <w:wordWrap/>
        <w:topLinePunct w:val="0"/>
        <w:autoSpaceDE/>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napToGrid w:val="0"/>
          <w:color w:val="000000"/>
          <w:szCs w:val="32"/>
        </w:rPr>
      </w:pPr>
      <w:r>
        <w:rPr>
          <w:rFonts w:hint="default" w:ascii="Times New Roman" w:hAnsi="Times New Roman" w:eastAsia="楷体_GB2312" w:cs="Times New Roman"/>
          <w:snapToGrid w:val="0"/>
          <w:color w:val="000000"/>
          <w:szCs w:val="32"/>
        </w:rPr>
        <w:t>一要强化组织推动。</w:t>
      </w:r>
      <w:r>
        <w:rPr>
          <w:rFonts w:hint="default" w:ascii="Times New Roman" w:hAnsi="Times New Roman" w:eastAsia="仿宋_GB2312" w:cs="Times New Roman"/>
          <w:snapToGrid w:val="0"/>
          <w:color w:val="000000"/>
          <w:szCs w:val="32"/>
        </w:rPr>
        <w:t>各地要结合落实“菜篮子”市长负责制，以项目建设为主要抓手，健全工作协调机制，层层压实责任，倒排工期，高质量推进，确保完成年度棚室建设任务，全力提高本地蔬菜自给率。根据省级实施方案，各地可制定本地设施园艺项目实施方案，确保项目有序实施、落地见效。</w:t>
      </w:r>
    </w:p>
    <w:p w14:paraId="1CD8C396">
      <w:pPr>
        <w:keepNext w:val="0"/>
        <w:keepLines w:val="0"/>
        <w:pageBreakBefore w:val="0"/>
        <w:widowControl w:val="0"/>
        <w:kinsoku/>
        <w:wordWrap/>
        <w:topLinePunct w:val="0"/>
        <w:autoSpaceDE/>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napToGrid w:val="0"/>
          <w:color w:val="000000"/>
          <w:szCs w:val="32"/>
        </w:rPr>
      </w:pPr>
      <w:r>
        <w:rPr>
          <w:rFonts w:hint="default" w:ascii="Times New Roman" w:hAnsi="Times New Roman" w:eastAsia="楷体_GB2312" w:cs="Times New Roman"/>
          <w:snapToGrid w:val="0"/>
          <w:color w:val="000000"/>
          <w:szCs w:val="32"/>
        </w:rPr>
        <w:t>二要严格规范程序</w:t>
      </w:r>
      <w:r>
        <w:rPr>
          <w:rFonts w:hint="default" w:ascii="Times New Roman" w:hAnsi="Times New Roman" w:eastAsia="仿宋_GB2312" w:cs="Times New Roman"/>
          <w:snapToGrid w:val="0"/>
          <w:color w:val="000000"/>
          <w:szCs w:val="32"/>
        </w:rPr>
        <w:t>。县级农业农村部门要建立项目基础材料档案，做到一户一档，依据相关要求严格核报。对验收结果及时公示</w:t>
      </w:r>
      <w:r>
        <w:rPr>
          <w:rFonts w:hint="default" w:ascii="Times New Roman" w:hAnsi="Times New Roman" w:eastAsia="仿宋_GB2312" w:cs="Times New Roman"/>
          <w:snapToGrid w:val="0"/>
          <w:color w:val="000000"/>
          <w:szCs w:val="32"/>
          <w:lang w:eastAsia="zh-CN"/>
        </w:rPr>
        <w:t>，</w:t>
      </w:r>
      <w:r>
        <w:rPr>
          <w:rFonts w:hint="default" w:ascii="Times New Roman" w:hAnsi="Times New Roman" w:eastAsia="仿宋_GB2312" w:cs="Times New Roman"/>
          <w:snapToGrid w:val="0"/>
          <w:color w:val="000000"/>
          <w:szCs w:val="32"/>
        </w:rPr>
        <w:t>有异议的及时进行复核，复核无问题方可向市级申报。市级农业农村部门要对县级申报项目进行全面复核，复核无问题的方可向省级申报。省级将聘用第三方机构对全省项目建设进行抽查审核。各地要切实履职尽责，确保在规定时限内完成申报、核实、验收、复核等工作。12月1</w:t>
      </w:r>
      <w:r>
        <w:rPr>
          <w:rFonts w:hint="default" w:ascii="Times New Roman" w:hAnsi="Times New Roman" w:eastAsia="仿宋_GB2312" w:cs="Times New Roman"/>
          <w:snapToGrid w:val="0"/>
          <w:color w:val="000000"/>
          <w:szCs w:val="32"/>
          <w:lang w:val="en-US" w:eastAsia="zh-CN"/>
        </w:rPr>
        <w:t>5</w:t>
      </w:r>
      <w:r>
        <w:rPr>
          <w:rFonts w:hint="default" w:ascii="Times New Roman" w:hAnsi="Times New Roman" w:eastAsia="仿宋_GB2312" w:cs="Times New Roman"/>
          <w:snapToGrid w:val="0"/>
          <w:color w:val="000000"/>
          <w:szCs w:val="32"/>
        </w:rPr>
        <w:t>日前，及时上报验收复核报告等材料，过期将视为不申报项目补助资金。</w:t>
      </w:r>
    </w:p>
    <w:p w14:paraId="58E1E2CF">
      <w:pPr>
        <w:keepNext w:val="0"/>
        <w:keepLines w:val="0"/>
        <w:pageBreakBefore w:val="0"/>
        <w:widowControl w:val="0"/>
        <w:kinsoku/>
        <w:wordWrap/>
        <w:topLinePunct w:val="0"/>
        <w:autoSpaceDE/>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napToGrid w:val="0"/>
          <w:color w:val="000000"/>
          <w:szCs w:val="32"/>
        </w:rPr>
      </w:pPr>
      <w:r>
        <w:rPr>
          <w:rFonts w:hint="default" w:ascii="Times New Roman" w:hAnsi="Times New Roman" w:eastAsia="楷体_GB2312" w:cs="Times New Roman"/>
          <w:snapToGrid w:val="0"/>
          <w:color w:val="000000"/>
          <w:szCs w:val="32"/>
          <w:lang w:eastAsia="zh-CN"/>
        </w:rPr>
        <w:t>三</w:t>
      </w:r>
      <w:r>
        <w:rPr>
          <w:rFonts w:hint="default" w:ascii="Times New Roman" w:hAnsi="Times New Roman" w:eastAsia="楷体_GB2312" w:cs="Times New Roman"/>
          <w:snapToGrid w:val="0"/>
          <w:color w:val="000000"/>
          <w:szCs w:val="32"/>
        </w:rPr>
        <w:t>要加强资金管理</w:t>
      </w:r>
      <w:r>
        <w:rPr>
          <w:rFonts w:hint="default" w:ascii="Times New Roman" w:hAnsi="Times New Roman" w:eastAsia="仿宋_GB2312" w:cs="Times New Roman"/>
          <w:snapToGrid w:val="0"/>
          <w:color w:val="000000"/>
          <w:szCs w:val="32"/>
        </w:rPr>
        <w:t>。实行“先验收后兑付”，做到专款专用，及时足额将补助资金发放到位。鼓励各地统筹安排资金，对项目补助范围以外的新建标准棚室、简易棚给予支持。</w:t>
      </w:r>
    </w:p>
    <w:p w14:paraId="34FE3E3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napToGrid w:val="0"/>
          <w:color w:val="000000"/>
          <w:szCs w:val="32"/>
        </w:rPr>
      </w:pPr>
      <w:r>
        <w:rPr>
          <w:rFonts w:hint="default" w:ascii="Times New Roman" w:hAnsi="Times New Roman" w:eastAsia="楷体_GB2312" w:cs="Times New Roman"/>
          <w:snapToGrid w:val="0"/>
          <w:color w:val="000000"/>
          <w:szCs w:val="32"/>
          <w:lang w:eastAsia="zh-CN"/>
        </w:rPr>
        <w:t>四</w:t>
      </w:r>
      <w:r>
        <w:rPr>
          <w:rFonts w:hint="default" w:ascii="Times New Roman" w:hAnsi="Times New Roman" w:eastAsia="楷体_GB2312" w:cs="Times New Roman"/>
          <w:snapToGrid w:val="0"/>
          <w:color w:val="000000"/>
          <w:szCs w:val="32"/>
        </w:rPr>
        <w:t>要广泛宣传引导</w:t>
      </w:r>
      <w:r>
        <w:rPr>
          <w:rFonts w:hint="default" w:ascii="Times New Roman" w:hAnsi="Times New Roman" w:eastAsia="仿宋_GB2312" w:cs="Times New Roman"/>
          <w:snapToGrid w:val="0"/>
          <w:color w:val="000000"/>
          <w:szCs w:val="32"/>
        </w:rPr>
        <w:t>。各地要充分利用各类媒介，大力宣传扶持政策、建设模式、技术路线、典型经验、发展成效，积极营造全社会投资发展棚膜经济的良好氛围。</w:t>
      </w:r>
    </w:p>
    <w:p w14:paraId="2A4F5D5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联系人：省农业农村厅园艺特产处  曹琳琳</w:t>
      </w:r>
    </w:p>
    <w:p w14:paraId="3EB4F14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联系电话：0431-88910523</w:t>
      </w:r>
    </w:p>
    <w:sectPr>
      <w:headerReference r:id="rId3" w:type="default"/>
      <w:footerReference r:id="rId4" w:type="default"/>
      <w:pgSz w:w="11906" w:h="16838"/>
      <w:pgMar w:top="1701" w:right="1474" w:bottom="1701"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var(--ds-font-family-code)">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8E1E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6A9B4">
                          <w:pPr>
                            <w:pStyle w:val="5"/>
                            <w:rPr>
                              <w:rFonts w:hint="eastAsia" w:eastAsia="仿宋_GB2312"/>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1</w:t>
                          </w:r>
                          <w:r>
                            <w:rPr>
                              <w:rFonts w:hint="eastAsia"/>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A6A9B4">
                    <w:pPr>
                      <w:pStyle w:val="5"/>
                      <w:rPr>
                        <w:rFonts w:hint="eastAsia" w:eastAsia="仿宋_GB2312"/>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1</w:t>
                    </w:r>
                    <w:r>
                      <w:rPr>
                        <w:rFonts w:hint="eastAsia"/>
                        <w:sz w:val="18"/>
                        <w:szCs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1D6CC">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C760A"/>
    <w:rsid w:val="00FC055E"/>
    <w:rsid w:val="014873E1"/>
    <w:rsid w:val="01AF4DC2"/>
    <w:rsid w:val="02372A08"/>
    <w:rsid w:val="02D63387"/>
    <w:rsid w:val="02FD2B07"/>
    <w:rsid w:val="031B58F4"/>
    <w:rsid w:val="042D61B0"/>
    <w:rsid w:val="04A84147"/>
    <w:rsid w:val="05104168"/>
    <w:rsid w:val="076F1939"/>
    <w:rsid w:val="08307327"/>
    <w:rsid w:val="09972737"/>
    <w:rsid w:val="09E83CDE"/>
    <w:rsid w:val="0A005731"/>
    <w:rsid w:val="0A8C2FD5"/>
    <w:rsid w:val="0DF65F5C"/>
    <w:rsid w:val="0E176E79"/>
    <w:rsid w:val="0EB5042D"/>
    <w:rsid w:val="1293600E"/>
    <w:rsid w:val="141B54D0"/>
    <w:rsid w:val="14FF0ADF"/>
    <w:rsid w:val="150E726B"/>
    <w:rsid w:val="150F17F9"/>
    <w:rsid w:val="17537DC3"/>
    <w:rsid w:val="1C264726"/>
    <w:rsid w:val="1C5A6135"/>
    <w:rsid w:val="1DE345A8"/>
    <w:rsid w:val="1E122A78"/>
    <w:rsid w:val="1EAC658F"/>
    <w:rsid w:val="1FDE3A2F"/>
    <w:rsid w:val="1FFF37D7"/>
    <w:rsid w:val="20455C1A"/>
    <w:rsid w:val="20F5286C"/>
    <w:rsid w:val="24191518"/>
    <w:rsid w:val="249B0CF5"/>
    <w:rsid w:val="254C1D9A"/>
    <w:rsid w:val="26200814"/>
    <w:rsid w:val="27944EBF"/>
    <w:rsid w:val="27C71A15"/>
    <w:rsid w:val="2B243E0D"/>
    <w:rsid w:val="2EA78E58"/>
    <w:rsid w:val="2F9A6DF1"/>
    <w:rsid w:val="2FAD82D9"/>
    <w:rsid w:val="2FBB41A0"/>
    <w:rsid w:val="2FFC1F6A"/>
    <w:rsid w:val="2FFF1CE7"/>
    <w:rsid w:val="309D3B8D"/>
    <w:rsid w:val="31960CE4"/>
    <w:rsid w:val="33043CAF"/>
    <w:rsid w:val="334F19F6"/>
    <w:rsid w:val="354B22E6"/>
    <w:rsid w:val="36512C6E"/>
    <w:rsid w:val="36E55F46"/>
    <w:rsid w:val="36FF71BC"/>
    <w:rsid w:val="3BEA18B4"/>
    <w:rsid w:val="3BEB481B"/>
    <w:rsid w:val="3CA43136"/>
    <w:rsid w:val="3D7CA7DB"/>
    <w:rsid w:val="3EBCB030"/>
    <w:rsid w:val="403B2D2F"/>
    <w:rsid w:val="436F33A4"/>
    <w:rsid w:val="44FDF9F2"/>
    <w:rsid w:val="46445615"/>
    <w:rsid w:val="467D517E"/>
    <w:rsid w:val="46D26F40"/>
    <w:rsid w:val="46FE70B9"/>
    <w:rsid w:val="47F681B8"/>
    <w:rsid w:val="4927275F"/>
    <w:rsid w:val="49B900C8"/>
    <w:rsid w:val="4A910E5A"/>
    <w:rsid w:val="4AA8602A"/>
    <w:rsid w:val="4BA87833"/>
    <w:rsid w:val="4BBB7FE1"/>
    <w:rsid w:val="4C2D4456"/>
    <w:rsid w:val="4CC01524"/>
    <w:rsid w:val="4D8119A9"/>
    <w:rsid w:val="4F001B07"/>
    <w:rsid w:val="4F160938"/>
    <w:rsid w:val="4F51386A"/>
    <w:rsid w:val="4FC07DDC"/>
    <w:rsid w:val="51366CC9"/>
    <w:rsid w:val="53CB28E9"/>
    <w:rsid w:val="55D05610"/>
    <w:rsid w:val="562E60E3"/>
    <w:rsid w:val="571A531D"/>
    <w:rsid w:val="57BC760A"/>
    <w:rsid w:val="593237FF"/>
    <w:rsid w:val="597D62D6"/>
    <w:rsid w:val="5A938723"/>
    <w:rsid w:val="5B07209E"/>
    <w:rsid w:val="5B941EE9"/>
    <w:rsid w:val="5C1E5C72"/>
    <w:rsid w:val="5D546A1F"/>
    <w:rsid w:val="5D5C9801"/>
    <w:rsid w:val="5E5F5C7B"/>
    <w:rsid w:val="5EEA02D8"/>
    <w:rsid w:val="5F5D365E"/>
    <w:rsid w:val="5F910C6F"/>
    <w:rsid w:val="5FD9A131"/>
    <w:rsid w:val="5FFDC4AE"/>
    <w:rsid w:val="5FFE36DC"/>
    <w:rsid w:val="5FFF08C0"/>
    <w:rsid w:val="60073C66"/>
    <w:rsid w:val="60693F80"/>
    <w:rsid w:val="613B1503"/>
    <w:rsid w:val="618A41D5"/>
    <w:rsid w:val="63495F02"/>
    <w:rsid w:val="63E4E421"/>
    <w:rsid w:val="655E56A7"/>
    <w:rsid w:val="65EF7DF8"/>
    <w:rsid w:val="669654FE"/>
    <w:rsid w:val="67B47729"/>
    <w:rsid w:val="67EDC796"/>
    <w:rsid w:val="67F03C40"/>
    <w:rsid w:val="6A297B56"/>
    <w:rsid w:val="6B615FC3"/>
    <w:rsid w:val="6BB20EE2"/>
    <w:rsid w:val="6BC776D2"/>
    <w:rsid w:val="6C175C1A"/>
    <w:rsid w:val="6CEC0481"/>
    <w:rsid w:val="6D7655E4"/>
    <w:rsid w:val="6DEF777B"/>
    <w:rsid w:val="6EB56F92"/>
    <w:rsid w:val="6F3D3569"/>
    <w:rsid w:val="6FFCDEA4"/>
    <w:rsid w:val="6FFE71B6"/>
    <w:rsid w:val="70815BF1"/>
    <w:rsid w:val="71ED1799"/>
    <w:rsid w:val="71FE1252"/>
    <w:rsid w:val="72D614F1"/>
    <w:rsid w:val="736B3C5E"/>
    <w:rsid w:val="73E47FDC"/>
    <w:rsid w:val="75CC7EBA"/>
    <w:rsid w:val="76AC15F5"/>
    <w:rsid w:val="778363F5"/>
    <w:rsid w:val="77FE580C"/>
    <w:rsid w:val="77FF2F1C"/>
    <w:rsid w:val="786FF93E"/>
    <w:rsid w:val="789B5C0E"/>
    <w:rsid w:val="78D820F4"/>
    <w:rsid w:val="79007B3E"/>
    <w:rsid w:val="7A2B5BC9"/>
    <w:rsid w:val="7A666738"/>
    <w:rsid w:val="7A6A4690"/>
    <w:rsid w:val="7B770997"/>
    <w:rsid w:val="7BBD09C4"/>
    <w:rsid w:val="7BFE6147"/>
    <w:rsid w:val="7CDD4544"/>
    <w:rsid w:val="7DDD297B"/>
    <w:rsid w:val="7DFF1C28"/>
    <w:rsid w:val="7E0D4A1C"/>
    <w:rsid w:val="7E7C5AB3"/>
    <w:rsid w:val="7E84238F"/>
    <w:rsid w:val="7EE65ADD"/>
    <w:rsid w:val="7EE72659"/>
    <w:rsid w:val="7EF7512A"/>
    <w:rsid w:val="7F17AF58"/>
    <w:rsid w:val="7F553D68"/>
    <w:rsid w:val="7F6F3306"/>
    <w:rsid w:val="7FB39E36"/>
    <w:rsid w:val="7FBF437B"/>
    <w:rsid w:val="7FDDB476"/>
    <w:rsid w:val="96B73C16"/>
    <w:rsid w:val="9B3D94A5"/>
    <w:rsid w:val="9BEDD2C4"/>
    <w:rsid w:val="AFFE5B7F"/>
    <w:rsid w:val="B468758A"/>
    <w:rsid w:val="B76EA11B"/>
    <w:rsid w:val="B9F2DE9B"/>
    <w:rsid w:val="BB7F0691"/>
    <w:rsid w:val="BFAE25DC"/>
    <w:rsid w:val="BFFC63C3"/>
    <w:rsid w:val="CDDE97E7"/>
    <w:rsid w:val="D2FD32CD"/>
    <w:rsid w:val="D3F339F6"/>
    <w:rsid w:val="DD7F08DB"/>
    <w:rsid w:val="DFEF0F7B"/>
    <w:rsid w:val="DFF12082"/>
    <w:rsid w:val="E0F57EB3"/>
    <w:rsid w:val="E6BA775D"/>
    <w:rsid w:val="E79FE81E"/>
    <w:rsid w:val="E83FF8DA"/>
    <w:rsid w:val="E8F7D620"/>
    <w:rsid w:val="EAFE903D"/>
    <w:rsid w:val="EBF21031"/>
    <w:rsid w:val="EC5FCE31"/>
    <w:rsid w:val="ED5F5C4F"/>
    <w:rsid w:val="EF9A26D7"/>
    <w:rsid w:val="F2F99D6E"/>
    <w:rsid w:val="F3DE1BA0"/>
    <w:rsid w:val="F5C8C194"/>
    <w:rsid w:val="F65CD8D8"/>
    <w:rsid w:val="F697CE5D"/>
    <w:rsid w:val="F7C63A8E"/>
    <w:rsid w:val="F7FA8F57"/>
    <w:rsid w:val="FB7F0B74"/>
    <w:rsid w:val="FEDA699D"/>
    <w:rsid w:val="FEF15A3A"/>
    <w:rsid w:val="FF288D8B"/>
    <w:rsid w:val="FF78B75B"/>
    <w:rsid w:val="FF7F04C5"/>
    <w:rsid w:val="FFC5218A"/>
    <w:rsid w:val="FFEDF938"/>
    <w:rsid w:val="FFF2CDF9"/>
    <w:rsid w:val="FFFB5BB6"/>
    <w:rsid w:val="FFFBF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宋体"/>
      <w:sz w:val="21"/>
      <w:szCs w:val="24"/>
    </w:rPr>
  </w:style>
  <w:style w:type="paragraph" w:styleId="3">
    <w:name w:val="Body Text"/>
    <w:basedOn w:val="1"/>
    <w:qFormat/>
    <w:uiPriority w:val="0"/>
    <w:pPr>
      <w:spacing w:line="360" w:lineRule="auto"/>
    </w:pPr>
    <w:rPr>
      <w:rFonts w:ascii="仿宋_GB2312"/>
      <w:sz w:val="30"/>
      <w:szCs w:val="30"/>
    </w:rPr>
  </w:style>
  <w:style w:type="paragraph" w:styleId="4">
    <w:name w:val="Body Text Indent"/>
    <w:basedOn w:val="1"/>
    <w:next w:val="1"/>
    <w:qFormat/>
    <w:uiPriority w:val="0"/>
    <w:pPr>
      <w:ind w:left="1596" w:hanging="969"/>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9">
    <w:name w:val="Body Text 2"/>
    <w:basedOn w:val="1"/>
    <w:qFormat/>
    <w:uiPriority w:val="0"/>
    <w:pPr>
      <w:spacing w:after="120" w:line="480" w:lineRule="auto"/>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2"/>
    <w:basedOn w:val="4"/>
    <w:next w:val="1"/>
    <w:unhideWhenUsed/>
    <w:qFormat/>
    <w:uiPriority w:val="99"/>
    <w:pPr>
      <w:ind w:firstLine="420" w:firstLineChars="200"/>
    </w:pPr>
  </w:style>
  <w:style w:type="character" w:customStyle="1" w:styleId="14">
    <w:name w:val="NormalCharacter"/>
    <w:semiHidden/>
    <w:qFormat/>
    <w:uiPriority w:val="99"/>
  </w:style>
  <w:style w:type="paragraph" w:customStyle="1" w:styleId="15">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正文-公1"/>
    <w:basedOn w:val="1"/>
    <w:next w:val="1"/>
    <w:qFormat/>
    <w:uiPriority w:val="0"/>
    <w:pPr>
      <w:ind w:firstLine="200" w:firstLineChars="200"/>
      <w:jc w:val="left"/>
    </w:pPr>
    <w:rPr>
      <w:rFonts w:eastAsia="仿宋"/>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15613</Words>
  <Characters>16283</Characters>
  <Lines>0</Lines>
  <Paragraphs>0</Paragraphs>
  <TotalTime>7</TotalTime>
  <ScaleCrop>false</ScaleCrop>
  <LinksUpToDate>false</LinksUpToDate>
  <CharactersWithSpaces>16416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2025-05-23T03:20:00Z</dcterms:created>
  <dc:creator>ee</dc:creator>
  <cp:lastModifiedBy>朱潇</cp:lastModifiedBy>
  <cp:lastPrinted>2025-06-21T10:38:00Z</cp:lastPrinted>
  <dcterms:modified xsi:type="dcterms:W3CDTF">2025-07-01T09:38:11Z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eyJoZGlkIjoiZDYwYWZjOGI2NzM0OGVmYmRjNTNhNTk0ZTRkNzYyNGYiLCJ1c2VySWQiOiIzOTY4ODI0OTAifQ==</vt:lpwstr>
  </property>
  <property fmtid="{D5CDD505-2E9C-101B-9397-08002B2CF9AE}" pid="4" name="ICV">
    <vt:lpwstr>FC22ACA615E2ACD968BA506805DDE8A1_43</vt:lpwstr>
  </property>
</Properties>
</file>