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357069">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w:t>
      </w:r>
      <w:r>
        <w:rPr>
          <w:rFonts w:hint="eastAsia" w:eastAsia="黑体" w:cs="Times New Roman"/>
          <w:sz w:val="32"/>
          <w:szCs w:val="32"/>
          <w:lang w:val="en-US" w:eastAsia="zh-CN"/>
        </w:rPr>
        <w:t>0</w:t>
      </w:r>
      <w:bookmarkStart w:id="0" w:name="_GoBack"/>
      <w:bookmarkEnd w:id="0"/>
    </w:p>
    <w:p w14:paraId="12E068E4">
      <w:pPr>
        <w:pStyle w:val="2"/>
        <w:rPr>
          <w:rFonts w:hint="default" w:ascii="Times New Roman" w:hAnsi="Times New Roman" w:cs="Times New Roman"/>
          <w:lang w:val="en-US" w:eastAsia="zh-CN"/>
        </w:rPr>
      </w:pPr>
    </w:p>
    <w:p w14:paraId="255439B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rPr>
        <w:t>202</w:t>
      </w:r>
      <w:r>
        <w:rPr>
          <w:rFonts w:hint="default" w:ascii="Times New Roman" w:hAnsi="Times New Roman" w:eastAsia="方正小标宋简体" w:cs="Times New Roman"/>
          <w:sz w:val="44"/>
          <w:szCs w:val="44"/>
          <w:lang w:val="en-US" w:eastAsia="zh-CN"/>
        </w:rPr>
        <w:t>6</w:t>
      </w:r>
      <w:r>
        <w:rPr>
          <w:rFonts w:hint="default" w:ascii="Times New Roman" w:hAnsi="Times New Roman" w:eastAsia="方正小标宋简体" w:cs="Times New Roman"/>
          <w:sz w:val="44"/>
          <w:szCs w:val="44"/>
        </w:rPr>
        <w:t>年中央农业产业发展资金（</w:t>
      </w:r>
      <w:r>
        <w:rPr>
          <w:rFonts w:hint="default" w:ascii="Times New Roman" w:hAnsi="Times New Roman" w:eastAsia="方正小标宋简体" w:cs="Times New Roman"/>
          <w:sz w:val="44"/>
          <w:szCs w:val="44"/>
          <w:lang w:val="en-US" w:eastAsia="zh-CN"/>
        </w:rPr>
        <w:t>优势特色</w:t>
      </w:r>
    </w:p>
    <w:p w14:paraId="7CB8779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eastAsia="zh-CN"/>
        </w:rPr>
      </w:pPr>
      <w:r>
        <w:rPr>
          <w:rFonts w:hint="default" w:ascii="Times New Roman" w:hAnsi="Times New Roman" w:eastAsia="方正小标宋简体" w:cs="Times New Roman"/>
          <w:sz w:val="44"/>
          <w:szCs w:val="44"/>
          <w:lang w:val="en-US" w:eastAsia="zh-CN"/>
        </w:rPr>
        <w:t>产业集群</w:t>
      </w:r>
      <w:r>
        <w:rPr>
          <w:rFonts w:hint="default" w:ascii="Times New Roman" w:hAnsi="Times New Roman" w:eastAsia="方正小标宋简体" w:cs="Times New Roman"/>
          <w:sz w:val="44"/>
          <w:szCs w:val="44"/>
        </w:rPr>
        <w:t>）项目实施方案</w:t>
      </w:r>
      <w:r>
        <w:rPr>
          <w:rFonts w:hint="default" w:ascii="Times New Roman" w:hAnsi="Times New Roman" w:eastAsia="方正小标宋简体" w:cs="Times New Roman"/>
          <w:sz w:val="44"/>
          <w:szCs w:val="44"/>
          <w:lang w:eastAsia="zh-CN"/>
        </w:rPr>
        <w:t>（</w:t>
      </w:r>
      <w:r>
        <w:rPr>
          <w:rFonts w:hint="default" w:ascii="Times New Roman" w:hAnsi="Times New Roman" w:eastAsia="方正小标宋简体" w:cs="Times New Roman"/>
          <w:sz w:val="44"/>
          <w:szCs w:val="44"/>
          <w:lang w:val="en-US" w:eastAsia="zh-CN"/>
        </w:rPr>
        <w:t>指南</w:t>
      </w:r>
      <w:r>
        <w:rPr>
          <w:rFonts w:hint="default" w:ascii="Times New Roman" w:hAnsi="Times New Roman" w:eastAsia="方正小标宋简体" w:cs="Times New Roman"/>
          <w:sz w:val="44"/>
          <w:szCs w:val="44"/>
          <w:lang w:eastAsia="zh-CN"/>
        </w:rPr>
        <w:t>）</w:t>
      </w:r>
    </w:p>
    <w:p w14:paraId="73DE5B76">
      <w:pPr>
        <w:keepNext w:val="0"/>
        <w:keepLines w:val="0"/>
        <w:pageBreakBefore w:val="0"/>
        <w:widowControl w:val="0"/>
        <w:kinsoku/>
        <w:wordWrap/>
        <w:overflowPunct/>
        <w:topLinePunct w:val="0"/>
        <w:autoSpaceDE/>
        <w:autoSpaceDN/>
        <w:bidi w:val="0"/>
        <w:adjustRightInd/>
        <w:snapToGrid/>
        <w:spacing w:line="600" w:lineRule="exact"/>
        <w:ind w:firstLine="0" w:firstLineChars="0"/>
        <w:textAlignment w:val="auto"/>
        <w:rPr>
          <w:rFonts w:hint="default" w:ascii="Times New Roman" w:hAnsi="Times New Roman" w:eastAsia="黑体" w:cs="Times New Roman"/>
          <w:sz w:val="32"/>
          <w:szCs w:val="32"/>
        </w:rPr>
      </w:pPr>
    </w:p>
    <w:p w14:paraId="6260B4C7">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一、绩效目标</w:t>
      </w:r>
    </w:p>
    <w:p w14:paraId="77F20B3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立足本地资源禀赋</w:t>
      </w:r>
      <w:r>
        <w:rPr>
          <w:rFonts w:hint="default" w:ascii="Times New Roman" w:hAnsi="Times New Roman" w:cs="Times New Roman"/>
          <w:sz w:val="32"/>
          <w:szCs w:val="32"/>
          <w:lang w:eastAsia="zh-CN"/>
        </w:rPr>
        <w:t>，</w:t>
      </w:r>
      <w:r>
        <w:rPr>
          <w:rFonts w:hint="default" w:ascii="Times New Roman" w:hAnsi="Times New Roman" w:cs="Times New Roman"/>
        </w:rPr>
        <w:t>聚焦主导</w:t>
      </w:r>
      <w:r>
        <w:rPr>
          <w:rFonts w:hint="default" w:ascii="Times New Roman" w:hAnsi="Times New Roman" w:cs="Times New Roman"/>
          <w:lang w:val="en-US" w:eastAsia="zh-CN"/>
        </w:rPr>
        <w:t>特色</w:t>
      </w:r>
      <w:r>
        <w:rPr>
          <w:rFonts w:hint="default" w:ascii="Times New Roman" w:hAnsi="Times New Roman" w:cs="Times New Roman"/>
        </w:rPr>
        <w:t>产业，跨县域布局、龙头企业引领、多方主体参与、现代要素聚集、全产业链开发，</w:t>
      </w:r>
      <w:r>
        <w:rPr>
          <w:rFonts w:hint="default" w:ascii="Times New Roman" w:hAnsi="Times New Roman" w:eastAsia="仿宋_GB2312" w:cs="Times New Roman"/>
          <w:sz w:val="32"/>
          <w:szCs w:val="32"/>
        </w:rPr>
        <w:t>推动产业高端化、智能化、绿色化转型，提升集群规模能级、创新能力、品牌影响力与市场竞争力，将集群打</w:t>
      </w:r>
      <w:r>
        <w:rPr>
          <w:rFonts w:hint="default" w:ascii="Times New Roman" w:hAnsi="Times New Roman" w:cs="Times New Roman"/>
          <w:sz w:val="32"/>
          <w:szCs w:val="32"/>
          <w:lang w:eastAsia="zh-CN"/>
        </w:rPr>
        <w:t>造成</w:t>
      </w:r>
      <w:r>
        <w:rPr>
          <w:rFonts w:hint="default" w:ascii="Times New Roman" w:hAnsi="Times New Roman" w:cs="Times New Roman"/>
        </w:rPr>
        <w:t>具有较强的综合竞争力的农业产业经济带</w:t>
      </w:r>
      <w:r>
        <w:rPr>
          <w:rFonts w:hint="default" w:ascii="Times New Roman" w:hAnsi="Times New Roman" w:cs="Times New Roman"/>
          <w:lang w:eastAsia="zh-CN"/>
        </w:rPr>
        <w:t>。</w:t>
      </w:r>
    </w:p>
    <w:p w14:paraId="6D66A79C">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二、补助对象</w:t>
      </w:r>
    </w:p>
    <w:p w14:paraId="7E8120E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lang w:val="en-US" w:eastAsia="zh-CN"/>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default" w:ascii="Times New Roman" w:hAnsi="Times New Roman" w:cs="Times New Roman"/>
        </w:rPr>
        <w:t>符合优势特色产业集群项目申报条件，通过省农业农村厅择优遴选并报省政府同意，经农业农村部、财政部批准建设的</w:t>
      </w:r>
      <w:r>
        <w:rPr>
          <w:rFonts w:hint="default" w:ascii="Times New Roman" w:hAnsi="Times New Roman" w:cs="Times New Roman"/>
          <w:lang w:val="en-US" w:eastAsia="zh-CN"/>
        </w:rPr>
        <w:t>吉林长白山道地中药材</w:t>
      </w:r>
      <w:r>
        <w:rPr>
          <w:rFonts w:hint="default" w:ascii="Times New Roman" w:hAnsi="Times New Roman" w:cs="Times New Roman"/>
        </w:rPr>
        <w:t>优势特色产业集群的项目建设主体</w:t>
      </w:r>
      <w:r>
        <w:rPr>
          <w:rFonts w:hint="default" w:ascii="Times New Roman" w:hAnsi="Times New Roman" w:cs="Times New Roman"/>
          <w:lang w:eastAsia="zh-CN"/>
        </w:rPr>
        <w:t>；</w:t>
      </w:r>
      <w:r>
        <w:rPr>
          <w:rFonts w:hint="default" w:ascii="Times New Roman" w:hAnsi="Times New Roman" w:eastAsia="仿宋_GB2312" w:cs="Times New Roman"/>
          <w:sz w:val="32"/>
          <w:szCs w:val="32"/>
        </w:rPr>
        <w:t>202</w:t>
      </w:r>
      <w:r>
        <w:rPr>
          <w:rFonts w:hint="default" w:ascii="Times New Roman" w:hAnsi="Times New Roman" w:cs="Times New Roman"/>
          <w:sz w:val="32"/>
          <w:szCs w:val="32"/>
          <w:lang w:val="en-US" w:eastAsia="zh-CN"/>
        </w:rPr>
        <w:t>5</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批准建设</w:t>
      </w:r>
      <w:r>
        <w:rPr>
          <w:rFonts w:hint="default" w:ascii="Times New Roman" w:hAnsi="Times New Roman" w:cs="Times New Roman"/>
          <w:sz w:val="32"/>
          <w:szCs w:val="32"/>
          <w:lang w:val="en-US" w:eastAsia="zh-CN"/>
        </w:rPr>
        <w:t>大豆优势特色产业集群第一次续建项目的建设主体；</w:t>
      </w:r>
      <w:r>
        <w:rPr>
          <w:rFonts w:hint="default" w:ascii="Times New Roman" w:hAnsi="Times New Roman" w:cs="Times New Roman"/>
        </w:rPr>
        <w:t>2023年大豆优势特色产业集群建设项目</w:t>
      </w:r>
      <w:r>
        <w:rPr>
          <w:rFonts w:hint="default" w:ascii="Times New Roman" w:hAnsi="Times New Roman" w:cs="Times New Roman"/>
          <w:lang w:val="en-US" w:eastAsia="zh-CN"/>
        </w:rPr>
        <w:t>结余资金调整后的建设主体。</w:t>
      </w:r>
    </w:p>
    <w:p w14:paraId="65AE589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三、补助标准</w:t>
      </w:r>
    </w:p>
    <w:p w14:paraId="0875BE4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w:t>
      </w: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年</w:t>
      </w:r>
      <w:r>
        <w:rPr>
          <w:rFonts w:hint="default" w:ascii="Times New Roman" w:hAnsi="Times New Roman" w:cs="Times New Roman"/>
          <w:sz w:val="32"/>
          <w:szCs w:val="32"/>
          <w:lang w:val="en-US" w:eastAsia="zh-CN"/>
        </w:rPr>
        <w:t>获批建设吉林长白山道地中药材优势特色产业集群，</w:t>
      </w:r>
      <w:r>
        <w:rPr>
          <w:rFonts w:hint="default" w:ascii="Times New Roman" w:hAnsi="Times New Roman" w:eastAsia="仿宋_GB2312" w:cs="Times New Roman"/>
          <w:sz w:val="32"/>
          <w:szCs w:val="32"/>
        </w:rPr>
        <w:t>中央奖补资金</w:t>
      </w:r>
      <w:r>
        <w:rPr>
          <w:rFonts w:hint="default" w:ascii="Times New Roman" w:hAnsi="Times New Roman" w:cs="Times New Roman"/>
          <w:sz w:val="32"/>
          <w:szCs w:val="32"/>
          <w:lang w:val="en-US" w:eastAsia="zh-CN"/>
        </w:rPr>
        <w:t>6000</w:t>
      </w:r>
      <w:r>
        <w:rPr>
          <w:rFonts w:hint="default" w:ascii="Times New Roman" w:hAnsi="Times New Roman" w:eastAsia="仿宋_GB2312" w:cs="Times New Roman"/>
          <w:sz w:val="32"/>
          <w:szCs w:val="32"/>
        </w:rPr>
        <w:t>万元；202</w:t>
      </w:r>
      <w:r>
        <w:rPr>
          <w:rFonts w:hint="default" w:ascii="Times New Roman" w:hAnsi="Times New Roman" w:cs="Times New Roman"/>
          <w:sz w:val="32"/>
          <w:szCs w:val="32"/>
          <w:lang w:val="en-US" w:eastAsia="zh-CN"/>
        </w:rPr>
        <w:t>5</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eastAsia="zh-CN"/>
        </w:rPr>
        <w:t>批准建设</w:t>
      </w:r>
      <w:r>
        <w:rPr>
          <w:rFonts w:hint="default" w:ascii="Times New Roman" w:hAnsi="Times New Roman" w:cs="Times New Roman"/>
          <w:sz w:val="32"/>
          <w:szCs w:val="32"/>
          <w:lang w:val="en-US" w:eastAsia="zh-CN"/>
        </w:rPr>
        <w:t>大豆优势特色产业集群第一次续建项目，中央奖补资金5000万元；2023年大豆优势特色产业集群建设项目结余资金2852万元。</w:t>
      </w:r>
      <w:r>
        <w:rPr>
          <w:rFonts w:hint="default" w:ascii="Times New Roman" w:hAnsi="Times New Roman" w:eastAsia="仿宋_GB2312" w:cs="Times New Roman"/>
          <w:sz w:val="32"/>
          <w:szCs w:val="32"/>
        </w:rPr>
        <w:t>补助资金通过先建后补、</w:t>
      </w:r>
      <w:r>
        <w:rPr>
          <w:rFonts w:hint="default" w:ascii="Times New Roman" w:hAnsi="Times New Roman" w:cs="Times New Roman"/>
          <w:sz w:val="32"/>
          <w:szCs w:val="32"/>
          <w:lang w:val="en-US" w:eastAsia="zh-CN"/>
        </w:rPr>
        <w:t>直接补助</w:t>
      </w:r>
      <w:r>
        <w:rPr>
          <w:rFonts w:hint="default" w:ascii="Times New Roman" w:hAnsi="Times New Roman" w:eastAsia="仿宋_GB2312" w:cs="Times New Roman"/>
          <w:sz w:val="32"/>
          <w:szCs w:val="32"/>
        </w:rPr>
        <w:t>等方式支持</w:t>
      </w:r>
      <w:r>
        <w:rPr>
          <w:rFonts w:hint="default" w:ascii="Times New Roman" w:hAnsi="Times New Roman" w:eastAsia="仿宋_GB2312" w:cs="Times New Roman"/>
          <w:sz w:val="32"/>
          <w:szCs w:val="32"/>
          <w:lang w:eastAsia="zh-CN"/>
        </w:rPr>
        <w:t>项目实施主体</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中央财政</w:t>
      </w:r>
      <w:r>
        <w:rPr>
          <w:rFonts w:hint="default" w:ascii="Times New Roman" w:hAnsi="Times New Roman" w:eastAsia="仿宋_GB2312" w:cs="Times New Roman"/>
          <w:sz w:val="32"/>
          <w:szCs w:val="32"/>
          <w:lang w:val="en-US" w:eastAsia="zh-CN"/>
        </w:rPr>
        <w:t>奖补</w:t>
      </w:r>
      <w:r>
        <w:rPr>
          <w:rFonts w:hint="default" w:ascii="Times New Roman" w:hAnsi="Times New Roman" w:eastAsia="仿宋_GB2312" w:cs="Times New Roman"/>
          <w:sz w:val="32"/>
          <w:szCs w:val="32"/>
          <w:lang w:eastAsia="zh-CN"/>
        </w:rPr>
        <w:t>资金最高补贴项目总投资额的25%</w:t>
      </w:r>
      <w:r>
        <w:rPr>
          <w:rFonts w:hint="default" w:ascii="Times New Roman" w:hAnsi="Times New Roman" w:cs="Times New Roman"/>
          <w:sz w:val="32"/>
          <w:szCs w:val="32"/>
          <w:lang w:val="en" w:eastAsia="zh-CN"/>
        </w:rPr>
        <w:t>;</w:t>
      </w:r>
      <w:r>
        <w:rPr>
          <w:rFonts w:hint="default" w:ascii="Times New Roman" w:hAnsi="Times New Roman" w:eastAsia="仿宋_GB2312" w:cs="Times New Roman"/>
          <w:sz w:val="32"/>
          <w:szCs w:val="32"/>
          <w:lang w:eastAsia="zh-CN"/>
        </w:rPr>
        <w:t>单个项目获得的奖补资金不超过年度资金总额的20%</w:t>
      </w:r>
      <w:r>
        <w:rPr>
          <w:rFonts w:hint="default" w:ascii="Times New Roman" w:hAnsi="Times New Roman" w:cs="Times New Roman"/>
          <w:sz w:val="32"/>
          <w:szCs w:val="32"/>
          <w:lang w:val="en" w:eastAsia="zh-CN"/>
        </w:rPr>
        <w:t>;</w:t>
      </w:r>
      <w:r>
        <w:rPr>
          <w:rFonts w:hint="default" w:ascii="Times New Roman" w:hAnsi="Times New Roman" w:eastAsia="仿宋_GB2312" w:cs="Times New Roman"/>
          <w:sz w:val="32"/>
          <w:szCs w:val="32"/>
          <w:lang w:eastAsia="zh-CN"/>
        </w:rPr>
        <w:t>单个项目县（市、区）获得的中央奖补资金不能超过年度资金总额的50%。</w:t>
      </w:r>
    </w:p>
    <w:p w14:paraId="31E21480">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四、实施要求</w:t>
      </w:r>
    </w:p>
    <w:p w14:paraId="184009E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eastAsia="楷体_GB2312" w:cs="Times New Roman"/>
          <w:lang w:val="en-US" w:eastAsia="zh-CN"/>
        </w:rPr>
        <w:t>（一）强化组织保障。</w:t>
      </w:r>
      <w:r>
        <w:rPr>
          <w:rFonts w:hint="default" w:ascii="Times New Roman" w:hAnsi="Times New Roman" w:cs="Times New Roman"/>
          <w:sz w:val="32"/>
          <w:szCs w:val="32"/>
          <w:lang w:eastAsia="zh-CN"/>
        </w:rPr>
        <w:t>地方政府</w:t>
      </w:r>
      <w:r>
        <w:rPr>
          <w:rFonts w:hint="default" w:ascii="Times New Roman" w:hAnsi="Times New Roman" w:cs="Times New Roman"/>
          <w:sz w:val="32"/>
          <w:szCs w:val="32"/>
          <w:lang w:val="en-US" w:eastAsia="zh-CN"/>
        </w:rPr>
        <w:t>要</w:t>
      </w:r>
      <w:r>
        <w:rPr>
          <w:rFonts w:hint="default" w:ascii="Times New Roman" w:hAnsi="Times New Roman" w:cs="Times New Roman"/>
          <w:sz w:val="32"/>
          <w:szCs w:val="32"/>
          <w:lang w:eastAsia="zh-CN"/>
        </w:rPr>
        <w:t>高度重视产业集群项目建设，统筹协调各部门力量，健全工作推进机制，明确责任分工，强化督导调度，为项目顺利实施提供坚强组织领导和要素保障。</w:t>
      </w:r>
    </w:p>
    <w:p w14:paraId="6DD96384">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eastAsia="楷体_GB2312" w:cs="Times New Roman"/>
          <w:lang w:val="en-US" w:eastAsia="zh-CN"/>
        </w:rPr>
        <w:t>（二）培育市场经营主体。</w:t>
      </w:r>
      <w:r>
        <w:rPr>
          <w:rFonts w:hint="default" w:ascii="Times New Roman" w:hAnsi="Times New Roman" w:cs="Times New Roman"/>
          <w:sz w:val="32"/>
          <w:szCs w:val="32"/>
          <w:lang w:eastAsia="zh-CN"/>
        </w:rPr>
        <w:t>大力扶持龙头企业、农民专业合作社、家庭农场等新型经营主体，鼓励多元主体协同发展，激发市场活力和内生动力，打造结构合理、竞争力强的产业主体梯队。</w:t>
      </w:r>
    </w:p>
    <w:p w14:paraId="1470FCCF">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eastAsia="楷体_GB2312" w:cs="Times New Roman"/>
          <w:lang w:val="en-US" w:eastAsia="zh-CN"/>
        </w:rPr>
        <w:t>（三）健全联农带农机制。</w:t>
      </w:r>
      <w:r>
        <w:rPr>
          <w:rFonts w:hint="default" w:ascii="Times New Roman" w:hAnsi="Times New Roman" w:cs="Times New Roman"/>
          <w:sz w:val="32"/>
          <w:szCs w:val="32"/>
          <w:lang w:eastAsia="zh-CN"/>
        </w:rPr>
        <w:t>建立完善订单收购、保底分红、务工就业、股份合作等紧密型利益联结机制，切实提高联农带农实效，带动小农户融入产业发展，让农户更多分享产业增值收益。</w:t>
      </w:r>
    </w:p>
    <w:p w14:paraId="43544438">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eastAsia="楷体_GB2312" w:cs="Times New Roman"/>
          <w:lang w:val="en-US" w:eastAsia="zh-CN"/>
        </w:rPr>
        <w:t>（四）规范项目建设管理。</w:t>
      </w:r>
      <w:r>
        <w:rPr>
          <w:rFonts w:hint="default" w:ascii="Times New Roman" w:hAnsi="Times New Roman" w:cs="Times New Roman"/>
          <w:sz w:val="32"/>
          <w:szCs w:val="32"/>
          <w:lang w:eastAsia="zh-CN"/>
        </w:rPr>
        <w:t>严格按照批复的实施方案组织项目建设，不得擅自调整建设内容、建设地点、投资规模与实施标准，规范建设流程，按时序进度推进实施。</w:t>
      </w:r>
    </w:p>
    <w:p w14:paraId="281D363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w:t>
      </w:r>
      <w:r>
        <w:rPr>
          <w:rFonts w:hint="default" w:ascii="Times New Roman" w:hAnsi="Times New Roman" w:eastAsia="楷体_GB2312" w:cs="Times New Roman"/>
          <w:lang w:val="en-US" w:eastAsia="zh-CN"/>
        </w:rPr>
        <w:t>五</w:t>
      </w:r>
      <w:r>
        <w:rPr>
          <w:rFonts w:hint="default" w:ascii="Times New Roman" w:hAnsi="Times New Roman" w:eastAsia="楷体_GB2312" w:cs="Times New Roman"/>
          <w:lang w:eastAsia="zh-CN"/>
        </w:rPr>
        <w:t>）严格资金使用管控。</w:t>
      </w:r>
      <w:r>
        <w:rPr>
          <w:rFonts w:hint="default" w:ascii="Times New Roman" w:hAnsi="Times New Roman" w:cs="Times New Roman"/>
          <w:sz w:val="32"/>
          <w:szCs w:val="32"/>
          <w:lang w:eastAsia="zh-CN"/>
        </w:rPr>
        <w:t>实行专账管理、专款专用、专项核算，明确资金使用方向和范围，严禁挤占、挪用、套取资金，杜绝违规支出，确保财政资金使用安全、规范、高效。</w:t>
      </w:r>
    </w:p>
    <w:p w14:paraId="57C83D2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sz w:val="32"/>
          <w:szCs w:val="32"/>
          <w:lang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六</w:t>
      </w:r>
      <w:r>
        <w:rPr>
          <w:rFonts w:hint="default" w:ascii="Times New Roman" w:hAnsi="Times New Roman" w:eastAsia="楷体_GB2312" w:cs="Times New Roman"/>
          <w:lang w:eastAsia="zh-CN"/>
        </w:rPr>
        <w:t>）强化绩效目标导向。</w:t>
      </w:r>
      <w:r>
        <w:rPr>
          <w:rFonts w:hint="default" w:ascii="Times New Roman" w:hAnsi="Times New Roman" w:cs="Times New Roman"/>
          <w:sz w:val="32"/>
          <w:szCs w:val="32"/>
          <w:lang w:eastAsia="zh-CN"/>
        </w:rPr>
        <w:t>围绕产业规模、加工转化、品牌建设、农民增收等核心绩效指标推进实施，加强全过程绩效管理，按期完成竣工验收，确保实现预期建设成效。</w:t>
      </w:r>
    </w:p>
    <w:p w14:paraId="1533BEED">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五、监管措施</w:t>
      </w:r>
    </w:p>
    <w:p w14:paraId="18C45DE6">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rPr>
        <w:t>构建三级联动组织监管体系</w:t>
      </w:r>
      <w:r>
        <w:rPr>
          <w:rFonts w:hint="default" w:ascii="Times New Roman" w:hAnsi="Times New Roman" w:eastAsia="楷体_GB2312" w:cs="Times New Roman"/>
          <w:lang w:eastAsia="zh-CN"/>
        </w:rPr>
        <w:t>。</w:t>
      </w:r>
      <w:r>
        <w:rPr>
          <w:rFonts w:hint="default" w:ascii="Times New Roman" w:hAnsi="Times New Roman" w:cs="Times New Roman"/>
        </w:rPr>
        <w:t>建立省统筹、市督促、县落实的三级联动监管机制，农业农村部门会同财政部门开展常态化督查与不定期抽查，全程跟踪资金流向、项目建设进度及自筹资金到位情况，严格把控项目变更审批，严禁擅自调整资金用途、建设内容。</w:t>
      </w:r>
      <w:r>
        <w:rPr>
          <w:rFonts w:hint="default" w:ascii="Times New Roman" w:hAnsi="Times New Roman" w:eastAsia="仿宋_GB2312" w:cs="Times New Roman"/>
          <w:lang w:val="en-US" w:eastAsia="zh-CN"/>
        </w:rPr>
        <w:t>不</w:t>
      </w:r>
      <w:r>
        <w:rPr>
          <w:rFonts w:hint="default" w:ascii="Times New Roman" w:hAnsi="Times New Roman" w:cs="Times New Roman"/>
        </w:rPr>
        <w:t>定期召开项目调度推进会，及时协调解决项目建设中的用地、审批、推进滞后等问题，形成上下联动、齐抓共管的监管格局，保障项目有序推进。</w:t>
      </w:r>
    </w:p>
    <w:p w14:paraId="476D3A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楷体_GB2312" w:cs="Times New Roma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rPr>
        <w:t>实施项目全周期绩效监管</w:t>
      </w:r>
      <w:r>
        <w:rPr>
          <w:rFonts w:hint="default" w:ascii="Times New Roman" w:hAnsi="Times New Roman" w:eastAsia="楷体_GB2312" w:cs="Times New Roman"/>
          <w:lang w:eastAsia="zh-CN"/>
        </w:rPr>
        <w:t>。</w:t>
      </w:r>
      <w:r>
        <w:rPr>
          <w:rFonts w:hint="default" w:ascii="Times New Roman" w:hAnsi="Times New Roman" w:cs="Times New Roman"/>
        </w:rPr>
        <w:t>紧扣项目绩效目标，推行全过程绩效管理，</w:t>
      </w:r>
      <w:r>
        <w:rPr>
          <w:rFonts w:hint="default" w:ascii="Times New Roman" w:hAnsi="Times New Roman" w:eastAsia="仿宋_GB2312" w:cs="Times New Roman"/>
          <w:sz w:val="32"/>
          <w:szCs w:val="32"/>
        </w:rPr>
        <w:t>在优势特色产业集群项目实施过程中，定期跟踪项目建设进度、资金使用情况，对照既定绩效目标开展动态监测，及时发现目标执行偏差，针对问题督促整改，保障项目按计划推进、资金规范使用。</w:t>
      </w:r>
      <w:r>
        <w:rPr>
          <w:rFonts w:hint="default" w:ascii="Times New Roman" w:hAnsi="Times New Roman" w:cs="Times New Roman"/>
        </w:rPr>
        <w:t>强化绩效评价结果运用，将评价结果与后续资金安排直接挂钩，倒逼项目绩效目标全面落地。</w:t>
      </w:r>
    </w:p>
    <w:p w14:paraId="11DE75F5">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cs="Times New Roma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三</w:t>
      </w:r>
      <w:r>
        <w:rPr>
          <w:rFonts w:hint="default" w:ascii="Times New Roman" w:hAnsi="Times New Roman" w:eastAsia="楷体_GB2312" w:cs="Times New Roman"/>
          <w:lang w:eastAsia="zh-CN"/>
        </w:rPr>
        <w:t>）</w:t>
      </w:r>
      <w:r>
        <w:rPr>
          <w:rFonts w:hint="default" w:ascii="Times New Roman" w:hAnsi="Times New Roman" w:eastAsia="楷体_GB2312" w:cs="Times New Roman"/>
        </w:rPr>
        <w:t>聚焦联农带农实效精准监管</w:t>
      </w:r>
      <w:r>
        <w:rPr>
          <w:rFonts w:hint="default" w:ascii="Times New Roman" w:hAnsi="Times New Roman" w:eastAsia="楷体_GB2312" w:cs="Times New Roman"/>
          <w:lang w:eastAsia="zh-CN"/>
        </w:rPr>
        <w:t>。</w:t>
      </w:r>
      <w:r>
        <w:rPr>
          <w:rFonts w:hint="default" w:ascii="Times New Roman" w:hAnsi="Times New Roman" w:cs="Times New Roman"/>
        </w:rPr>
        <w:t>紧盯项目联农带农核心目标，全程</w:t>
      </w:r>
      <w:r>
        <w:rPr>
          <w:rFonts w:hint="default" w:ascii="Times New Roman" w:hAnsi="Times New Roman" w:cs="Times New Roman"/>
          <w:lang w:val="en-US" w:eastAsia="zh-CN"/>
        </w:rPr>
        <w:t>监督联农带农实际</w:t>
      </w:r>
      <w:r>
        <w:rPr>
          <w:rFonts w:hint="default" w:ascii="Times New Roman" w:hAnsi="Times New Roman" w:cs="Times New Roman"/>
        </w:rPr>
        <w:t>情况，对虚假联农、利益联结不到位等问题严肃督促整改，切实保障农户、新型经营主体合法权益，确保产业集群发展红利精准惠及农户。</w:t>
      </w:r>
    </w:p>
    <w:p w14:paraId="25414ACD">
      <w:pPr>
        <w:keepNext w:val="0"/>
        <w:keepLines w:val="0"/>
        <w:pageBreakBefore w:val="0"/>
        <w:widowControl w:val="0"/>
        <w:suppressAutoHyphens/>
        <w:kinsoku/>
        <w:wordWrap/>
        <w:overflowPunct/>
        <w:topLinePunct w:val="0"/>
        <w:autoSpaceDE/>
        <w:autoSpaceDN/>
        <w:bidi w:val="0"/>
        <w:adjustRightInd/>
        <w:snapToGrid/>
        <w:spacing w:line="600" w:lineRule="exact"/>
        <w:ind w:firstLine="640" w:firstLineChars="200"/>
        <w:contextualSpacing w:val="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四</w:t>
      </w:r>
      <w:r>
        <w:rPr>
          <w:rFonts w:hint="default" w:ascii="Times New Roman" w:hAnsi="Times New Roman" w:eastAsia="楷体_GB2312" w:cs="Times New Roman"/>
          <w:lang w:eastAsia="zh-CN"/>
        </w:rPr>
        <w:t>）</w:t>
      </w:r>
      <w:r>
        <w:rPr>
          <w:rFonts w:hint="default" w:ascii="Times New Roman" w:hAnsi="Times New Roman" w:eastAsia="楷体_GB2312" w:cs="Times New Roman"/>
        </w:rPr>
        <w:t>健全</w:t>
      </w:r>
      <w:r>
        <w:rPr>
          <w:rFonts w:hint="default" w:ascii="Times New Roman" w:hAnsi="Times New Roman" w:eastAsia="楷体_GB2312" w:cs="Times New Roman"/>
          <w:sz w:val="32"/>
          <w:szCs w:val="32"/>
        </w:rPr>
        <w:t>资金监管措施。</w:t>
      </w:r>
      <w:r>
        <w:rPr>
          <w:rFonts w:hint="default" w:ascii="Times New Roman" w:hAnsi="Times New Roman" w:eastAsia="仿宋_GB2312" w:cs="Times New Roman"/>
          <w:sz w:val="32"/>
          <w:szCs w:val="32"/>
        </w:rPr>
        <w:t>项目资金纳入农业农村部转移支付管理平台进行动态管理。建立事前规范、事中管控、事后追责的全流程资金监管体系，严格保障资金专款专用、规范高效。实施主体需建立完整资金台账，留存合同、发票、付款凭证等全部资料；对建设进度缓慢，不履行审批程序</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擅自变更</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挤占</w:t>
      </w:r>
      <w:r>
        <w:rPr>
          <w:rFonts w:hint="default" w:ascii="Times New Roman" w:hAnsi="Times New Roman" w:eastAsia="仿宋_GB2312" w:cs="Times New Roman"/>
          <w:sz w:val="32"/>
          <w:szCs w:val="32"/>
          <w:lang w:eastAsia="zh-CN"/>
        </w:rPr>
        <w:t>、挪用、</w:t>
      </w:r>
      <w:r>
        <w:rPr>
          <w:rFonts w:hint="default" w:ascii="Times New Roman" w:hAnsi="Times New Roman" w:eastAsia="仿宋_GB2312" w:cs="Times New Roman"/>
          <w:sz w:val="32"/>
          <w:szCs w:val="32"/>
        </w:rPr>
        <w:t>截留</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滞留中央财政奖补资金等问题的项目，及时采取限期整改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印发提醒函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通报批评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停止拨款</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收回结余中央财政奖补资金等处理措施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对情节严重的</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向有关单位建议追究相关责任人的责任。</w:t>
      </w:r>
    </w:p>
    <w:p w14:paraId="43648CB1">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 xml:space="preserve">联系人： </w:t>
      </w:r>
      <w:r>
        <w:rPr>
          <w:rFonts w:hint="default" w:ascii="Times New Roman" w:hAnsi="Times New Roman" w:cs="Times New Roman"/>
          <w:sz w:val="32"/>
          <w:szCs w:val="32"/>
          <w:lang w:val="en-US" w:eastAsia="zh-CN"/>
        </w:rPr>
        <w:t>李美祎</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电话：0431-889</w:t>
      </w:r>
      <w:r>
        <w:rPr>
          <w:rFonts w:hint="default" w:ascii="Times New Roman" w:hAnsi="Times New Roman" w:eastAsia="仿宋_GB2312" w:cs="Times New Roman"/>
          <w:sz w:val="32"/>
          <w:szCs w:val="32"/>
          <w:lang w:val="en-US" w:eastAsia="zh-CN"/>
        </w:rPr>
        <w:t>10530</w:t>
      </w:r>
    </w:p>
    <w:p w14:paraId="46ABA95E">
      <w:pPr>
        <w:pStyle w:val="5"/>
        <w:ind w:left="0" w:leftChars="0" w:firstLine="0" w:firstLineChars="0"/>
        <w:rPr>
          <w:rFonts w:hint="default" w:ascii="Times New Roman" w:hAnsi="Times New Roman" w:cs="Times New Roman"/>
          <w:color w:val="000000"/>
          <w:kern w:val="0"/>
          <w:highlight w:val="none"/>
          <w:lang w:eastAsia="zh-CN" w:bidi="ar"/>
        </w:rPr>
      </w:pPr>
    </w:p>
    <w:p w14:paraId="109BAB93">
      <w:pPr>
        <w:pStyle w:val="5"/>
        <w:ind w:left="0" w:leftChars="0" w:firstLine="0" w:firstLineChars="0"/>
        <w:rPr>
          <w:rFonts w:hint="default" w:ascii="Times New Roman" w:hAnsi="Times New Roman" w:cs="Times New Roman"/>
          <w:color w:val="000000"/>
          <w:kern w:val="0"/>
          <w:highlight w:val="none"/>
          <w:lang w:eastAsia="zh-CN" w:bidi="ar"/>
        </w:rPr>
      </w:pPr>
    </w:p>
    <w:p w14:paraId="206F621E">
      <w:pPr>
        <w:pStyle w:val="5"/>
        <w:ind w:left="0" w:leftChars="0" w:firstLine="0" w:firstLineChars="0"/>
        <w:rPr>
          <w:rFonts w:hint="default" w:ascii="Times New Roman" w:hAnsi="Times New Roman" w:cs="Times New Roman"/>
          <w:color w:val="000000"/>
          <w:kern w:val="0"/>
          <w:highlight w:val="none"/>
          <w:lang w:eastAsia="zh-CN" w:bidi="ar"/>
        </w:rPr>
      </w:pPr>
    </w:p>
    <w:p w14:paraId="473456E5">
      <w:pPr>
        <w:pStyle w:val="5"/>
        <w:ind w:left="0" w:leftChars="0" w:firstLine="0" w:firstLineChars="0"/>
        <w:rPr>
          <w:rFonts w:hint="default" w:ascii="Times New Roman" w:hAnsi="Times New Roman" w:cs="Times New Roman"/>
          <w:color w:val="000000"/>
          <w:kern w:val="0"/>
          <w:highlight w:val="none"/>
          <w:lang w:eastAsia="zh-CN" w:bidi="ar"/>
        </w:rPr>
      </w:pPr>
    </w:p>
    <w:p w14:paraId="14079D3B">
      <w:pPr>
        <w:pStyle w:val="5"/>
        <w:ind w:left="0" w:leftChars="0" w:firstLine="0" w:firstLineChars="0"/>
        <w:rPr>
          <w:rFonts w:hint="default" w:ascii="Times New Roman" w:hAnsi="Times New Roman" w:cs="Times New Roman"/>
          <w:color w:val="000000"/>
          <w:kern w:val="0"/>
          <w:highlight w:val="none"/>
          <w:lang w:eastAsia="zh-CN" w:bidi="ar"/>
        </w:rPr>
      </w:pPr>
    </w:p>
    <w:p w14:paraId="6C90CEE0">
      <w:pPr>
        <w:pStyle w:val="5"/>
        <w:ind w:left="0" w:leftChars="0" w:firstLine="0" w:firstLineChars="0"/>
        <w:rPr>
          <w:rFonts w:hint="default" w:ascii="Times New Roman" w:hAnsi="Times New Roman" w:cs="Times New Roman"/>
          <w:color w:val="000000"/>
          <w:kern w:val="0"/>
          <w:highlight w:val="none"/>
          <w:lang w:eastAsia="zh-CN" w:bidi="ar"/>
        </w:rPr>
      </w:pPr>
    </w:p>
    <w:p w14:paraId="6C574AFB">
      <w:pPr>
        <w:pStyle w:val="5"/>
        <w:ind w:left="0" w:leftChars="0" w:firstLine="0" w:firstLineChars="0"/>
        <w:rPr>
          <w:rFonts w:hint="default" w:ascii="Times New Roman" w:hAnsi="Times New Roman" w:cs="Times New Roman"/>
          <w:color w:val="000000"/>
          <w:kern w:val="0"/>
          <w:highlight w:val="none"/>
          <w:lang w:eastAsia="zh-CN" w:bidi="ar"/>
        </w:rPr>
      </w:pPr>
    </w:p>
    <w:p w14:paraId="3B7CB4B3">
      <w:pPr>
        <w:pStyle w:val="5"/>
        <w:ind w:left="0" w:leftChars="0" w:firstLine="0" w:firstLineChars="0"/>
        <w:rPr>
          <w:rFonts w:hint="default" w:ascii="Times New Roman" w:hAnsi="Times New Roman" w:cs="Times New Roman"/>
          <w:color w:val="000000"/>
          <w:kern w:val="0"/>
          <w:highlight w:val="none"/>
          <w:lang w:eastAsia="zh-CN" w:bidi="ar"/>
        </w:rPr>
      </w:pPr>
    </w:p>
    <w:p w14:paraId="2AFFA4F7">
      <w:pPr>
        <w:pStyle w:val="5"/>
        <w:ind w:left="0" w:leftChars="0" w:firstLine="0" w:firstLineChars="0"/>
        <w:rPr>
          <w:rFonts w:hint="default" w:ascii="Times New Roman" w:hAnsi="Times New Roman" w:cs="Times New Roman"/>
          <w:color w:val="000000"/>
          <w:kern w:val="0"/>
          <w:highlight w:val="none"/>
          <w:lang w:eastAsia="zh-CN" w:bidi="ar"/>
        </w:rPr>
      </w:pPr>
    </w:p>
    <w:p w14:paraId="1DF1EE52">
      <w:pPr>
        <w:pStyle w:val="5"/>
        <w:ind w:left="0" w:leftChars="0" w:firstLine="0" w:firstLineChars="0"/>
        <w:rPr>
          <w:rFonts w:hint="default" w:ascii="Times New Roman" w:hAnsi="Times New Roman" w:cs="Times New Roman"/>
          <w:color w:val="000000"/>
          <w:kern w:val="0"/>
          <w:highlight w:val="none"/>
          <w:lang w:eastAsia="zh-CN" w:bidi="ar"/>
        </w:rPr>
      </w:pPr>
    </w:p>
    <w:sectPr>
      <w:footerReference r:id="rId3"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9AC4E0-FF69-4820-8FD3-FFD24EFBD9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3653372-B8B7-4BAA-AA80-36E7DF76906E}"/>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3" w:fontKey="{56158317-25D2-45D2-B76B-72FCCA387450}"/>
  </w:font>
  <w:font w:name="楷体_GB2312">
    <w:panose1 w:val="02010609030101010101"/>
    <w:charset w:val="86"/>
    <w:family w:val="modern"/>
    <w:pitch w:val="default"/>
    <w:sig w:usb0="00000001" w:usb1="080E0000" w:usb2="00000000" w:usb3="00000000" w:csb0="00040000" w:csb1="00000000"/>
    <w:embedRegular r:id="rId4" w:fontKey="{6DEF4F4A-FD8D-4255-80F0-11482AF08D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78934">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7290685">
                          <w:pPr>
                            <w:pStyle w:val="7"/>
                            <w:rPr>
                              <w:rFonts w:hint="eastAsia" w:eastAsia="仿宋_GB2312"/>
                              <w:lang w:eastAsia="zh-CN"/>
                            </w:rPr>
                          </w:pPr>
                          <w:r>
                            <w:rPr>
                              <w:rFonts w:hint="eastAsia"/>
                              <w:sz w:val="18"/>
                              <w:szCs w:val="18"/>
                              <w:lang w:eastAsia="zh-CN"/>
                            </w:rPr>
                            <w:fldChar w:fldCharType="begin"/>
                          </w:r>
                          <w:r>
                            <w:rPr>
                              <w:rFonts w:hint="eastAsia"/>
                              <w:sz w:val="18"/>
                              <w:szCs w:val="18"/>
                              <w:lang w:eastAsia="zh-CN"/>
                            </w:rPr>
                            <w:instrText xml:space="preserve"> PAGE  \* MERGEFORMAT </w:instrText>
                          </w:r>
                          <w:r>
                            <w:rPr>
                              <w:rFonts w:hint="eastAsia"/>
                              <w:sz w:val="18"/>
                              <w:szCs w:val="18"/>
                              <w:lang w:eastAsia="zh-CN"/>
                            </w:rPr>
                            <w:fldChar w:fldCharType="separate"/>
                          </w:r>
                          <w:r>
                            <w:rPr>
                              <w:rFonts w:hint="eastAsia"/>
                              <w:sz w:val="18"/>
                              <w:szCs w:val="18"/>
                              <w:lang w:eastAsia="zh-CN"/>
                            </w:rPr>
                            <w:t>1</w:t>
                          </w:r>
                          <w:r>
                            <w:rPr>
                              <w:rFonts w:hint="eastAsia"/>
                              <w:sz w:val="18"/>
                              <w:szCs w:val="18"/>
                              <w:lang w:eastAsia="zh-CN"/>
                            </w:rPr>
                            <w:fldChar w:fldCharType="end"/>
                          </w:r>
                        </w:p>
                      </w:txbxContent>
                    </wps:txbx>
                    <wps:bodyPr wrap="none" lIns="0" tIns="0" rIns="0" bIns="0" upright="0">
                      <a:spAutoFit/>
                    </wps:bodyPr>
                  </wps:wsp>
                </a:graphicData>
              </a:graphic>
            </wp:anchor>
          </w:drawing>
        </mc:Choice>
        <mc:Fallback>
          <w:pict>
            <v:shape id="文本框 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tSAm/QAQAAogMAAA4AAABkcnMvZTJvRG9jLnhtbK1TS27bMBDdF+gd&#10;CO5rKQ4aGILlIIGRokDRFkh7AJqiLAL8YYa25Au0N+iqm+57Lp+jQ0pyinSTRTfU/Phm3uNofTtY&#10;w44KUHtX86tFyZly0jfa7Wv+9cvDmxVnGIVrhPFO1fykkN9uXr9a96FSS9950yhgBOKw6kPNuxhD&#10;VRQoO2UFLnxQjpKtBysiubAvGhA9oVtTLMvypug9NAG8VIgU3Y5JPiHCSwB922qptl4erHJxRAVl&#10;RCRK2OmAfJOnbVsl46e2RRWZqTkxjfmkJmTv0lls1qLagwidltMI4iUjPONkhXbU9AK1FVGwA+h/&#10;oKyW4NG3cSG9LUYiWRFicVU+0+axE0FlLiQ1hovo+P9g5cfjZ2C6oU3gzAlLD37+8f388/f51zd2&#10;neTpA1ZU9RioLg73fkilUxwpmFgPLdj0JT6M8iTu6SKuGiKT6dJquVqVlJKUmx3CKZ6uB8D4TnnL&#10;klFzoNfLoorjB4xj6VySujn/oI2huKiMY33Nb67flvnCJUPgxlGPRGIcNllx2A0Tg51vTkSspw2o&#10;uaOF58y8dyRwWpbZgNnYzcYhgN53eZtSewx3h0jT5CFThxF2akxPl2lOa5Z2428/Vz39Wps/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s0lY7tAAAAAFAQAADwAAAAAAAAABACAAAAAiAAAAZHJzL2Rv&#10;d25yZXYueG1sUEsBAhQAFAAAAAgAh07iQPtSAm/QAQAAogMAAA4AAAAAAAAAAQAgAAAAHwEAAGRy&#10;cy9lMm9Eb2MueG1sUEsFBgAAAAAGAAYAWQEAAGEFAAAAAA==&#10;">
              <v:fill on="f" focussize="0,0"/>
              <v:stroke on="f" weight="0.5pt"/>
              <v:imagedata o:title=""/>
              <o:lock v:ext="edit" aspectratio="f"/>
              <v:textbox inset="0mm,0mm,0mm,0mm" style="mso-fit-shape-to-text:t;">
                <w:txbxContent>
                  <w:p w14:paraId="37290685">
                    <w:pPr>
                      <w:pStyle w:val="7"/>
                      <w:rPr>
                        <w:rFonts w:hint="eastAsia" w:eastAsia="仿宋_GB2312"/>
                        <w:lang w:eastAsia="zh-CN"/>
                      </w:rPr>
                    </w:pPr>
                    <w:r>
                      <w:rPr>
                        <w:rFonts w:hint="eastAsia"/>
                        <w:sz w:val="18"/>
                        <w:szCs w:val="18"/>
                        <w:lang w:eastAsia="zh-CN"/>
                      </w:rPr>
                      <w:fldChar w:fldCharType="begin"/>
                    </w:r>
                    <w:r>
                      <w:rPr>
                        <w:rFonts w:hint="eastAsia"/>
                        <w:sz w:val="18"/>
                        <w:szCs w:val="18"/>
                        <w:lang w:eastAsia="zh-CN"/>
                      </w:rPr>
                      <w:instrText xml:space="preserve"> PAGE  \* MERGEFORMAT </w:instrText>
                    </w:r>
                    <w:r>
                      <w:rPr>
                        <w:rFonts w:hint="eastAsia"/>
                        <w:sz w:val="18"/>
                        <w:szCs w:val="18"/>
                        <w:lang w:eastAsia="zh-CN"/>
                      </w:rPr>
                      <w:fldChar w:fldCharType="separate"/>
                    </w:r>
                    <w:r>
                      <w:rPr>
                        <w:rFonts w:hint="eastAsia"/>
                        <w:sz w:val="18"/>
                        <w:szCs w:val="18"/>
                        <w:lang w:eastAsia="zh-CN"/>
                      </w:rPr>
                      <w:t>1</w:t>
                    </w:r>
                    <w:r>
                      <w:rPr>
                        <w:rFonts w:hint="eastAsia"/>
                        <w:sz w:val="18"/>
                        <w:szCs w:val="1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7BC760A"/>
    <w:rsid w:val="000B6472"/>
    <w:rsid w:val="00FC055E"/>
    <w:rsid w:val="014873E1"/>
    <w:rsid w:val="015A4846"/>
    <w:rsid w:val="01AF4DC2"/>
    <w:rsid w:val="02D63387"/>
    <w:rsid w:val="031B58F4"/>
    <w:rsid w:val="042D61B0"/>
    <w:rsid w:val="04A84147"/>
    <w:rsid w:val="05104168"/>
    <w:rsid w:val="05B17B1C"/>
    <w:rsid w:val="076F1939"/>
    <w:rsid w:val="08307327"/>
    <w:rsid w:val="09972737"/>
    <w:rsid w:val="09E83CDE"/>
    <w:rsid w:val="0A005731"/>
    <w:rsid w:val="0A8C2FD5"/>
    <w:rsid w:val="0ACB5B4F"/>
    <w:rsid w:val="0DF65F5C"/>
    <w:rsid w:val="0E176E79"/>
    <w:rsid w:val="0EB5042D"/>
    <w:rsid w:val="10F24535"/>
    <w:rsid w:val="11B26F22"/>
    <w:rsid w:val="1293600E"/>
    <w:rsid w:val="141B54D0"/>
    <w:rsid w:val="14FF0ADF"/>
    <w:rsid w:val="150E726B"/>
    <w:rsid w:val="150F17F9"/>
    <w:rsid w:val="154D7DEF"/>
    <w:rsid w:val="15E238FA"/>
    <w:rsid w:val="18769F6A"/>
    <w:rsid w:val="19494B07"/>
    <w:rsid w:val="1AAF302E"/>
    <w:rsid w:val="1C264726"/>
    <w:rsid w:val="1C5A6135"/>
    <w:rsid w:val="1D2BF703"/>
    <w:rsid w:val="1E122A78"/>
    <w:rsid w:val="1EAC658F"/>
    <w:rsid w:val="20455C1A"/>
    <w:rsid w:val="20F5286C"/>
    <w:rsid w:val="214C5048"/>
    <w:rsid w:val="24191518"/>
    <w:rsid w:val="249B0CF5"/>
    <w:rsid w:val="254C1D9A"/>
    <w:rsid w:val="26200814"/>
    <w:rsid w:val="26FE29BA"/>
    <w:rsid w:val="27944EBF"/>
    <w:rsid w:val="27CD5B6C"/>
    <w:rsid w:val="2A377E4D"/>
    <w:rsid w:val="2B243E0D"/>
    <w:rsid w:val="2FBB41A0"/>
    <w:rsid w:val="309D3B8D"/>
    <w:rsid w:val="31960CE4"/>
    <w:rsid w:val="33043CAF"/>
    <w:rsid w:val="334F19F6"/>
    <w:rsid w:val="34564E38"/>
    <w:rsid w:val="354B22E6"/>
    <w:rsid w:val="36512C6E"/>
    <w:rsid w:val="36E55F46"/>
    <w:rsid w:val="3B1A4FF3"/>
    <w:rsid w:val="3CA43136"/>
    <w:rsid w:val="3D192457"/>
    <w:rsid w:val="3E761172"/>
    <w:rsid w:val="3E950E12"/>
    <w:rsid w:val="40135234"/>
    <w:rsid w:val="403B2D2F"/>
    <w:rsid w:val="409F5436"/>
    <w:rsid w:val="433F3C31"/>
    <w:rsid w:val="44870D4E"/>
    <w:rsid w:val="46445615"/>
    <w:rsid w:val="467D517E"/>
    <w:rsid w:val="46D26F40"/>
    <w:rsid w:val="46FE70B9"/>
    <w:rsid w:val="4927275F"/>
    <w:rsid w:val="49B900C8"/>
    <w:rsid w:val="4A910E5A"/>
    <w:rsid w:val="4AA8602A"/>
    <w:rsid w:val="4BA87833"/>
    <w:rsid w:val="4BBB7FE1"/>
    <w:rsid w:val="4C0E50A9"/>
    <w:rsid w:val="4C296267"/>
    <w:rsid w:val="4C2D4456"/>
    <w:rsid w:val="4C652215"/>
    <w:rsid w:val="4CC01524"/>
    <w:rsid w:val="4D8119A9"/>
    <w:rsid w:val="4F001B07"/>
    <w:rsid w:val="4F51386A"/>
    <w:rsid w:val="4FC07DDC"/>
    <w:rsid w:val="4FFE9875"/>
    <w:rsid w:val="50007F9B"/>
    <w:rsid w:val="51366CC9"/>
    <w:rsid w:val="52A46AEC"/>
    <w:rsid w:val="53CB28E9"/>
    <w:rsid w:val="55C42FD8"/>
    <w:rsid w:val="55D05610"/>
    <w:rsid w:val="571A531D"/>
    <w:rsid w:val="57BC760A"/>
    <w:rsid w:val="593237FF"/>
    <w:rsid w:val="5A37016C"/>
    <w:rsid w:val="5B07209E"/>
    <w:rsid w:val="5B0E1C5C"/>
    <w:rsid w:val="5B941EE9"/>
    <w:rsid w:val="5BFDA2CF"/>
    <w:rsid w:val="5C1E5C72"/>
    <w:rsid w:val="5D546A1F"/>
    <w:rsid w:val="5E5F5C7B"/>
    <w:rsid w:val="5F2F0FE7"/>
    <w:rsid w:val="5F5D365E"/>
    <w:rsid w:val="5F910C6F"/>
    <w:rsid w:val="5FEC8461"/>
    <w:rsid w:val="60073C66"/>
    <w:rsid w:val="60693F80"/>
    <w:rsid w:val="613B1503"/>
    <w:rsid w:val="618A41D5"/>
    <w:rsid w:val="62BA2AEC"/>
    <w:rsid w:val="63495F02"/>
    <w:rsid w:val="64E73E6C"/>
    <w:rsid w:val="655E56A7"/>
    <w:rsid w:val="67B47729"/>
    <w:rsid w:val="6A297B56"/>
    <w:rsid w:val="6B012BDF"/>
    <w:rsid w:val="6B615FC3"/>
    <w:rsid w:val="6BB20EE2"/>
    <w:rsid w:val="6C175C1A"/>
    <w:rsid w:val="6C691135"/>
    <w:rsid w:val="6CB7DC63"/>
    <w:rsid w:val="6CEC0481"/>
    <w:rsid w:val="6D321474"/>
    <w:rsid w:val="6D7655E4"/>
    <w:rsid w:val="6E301A31"/>
    <w:rsid w:val="6E5A0790"/>
    <w:rsid w:val="6EB56F92"/>
    <w:rsid w:val="70815BF1"/>
    <w:rsid w:val="72D614F1"/>
    <w:rsid w:val="736B3C5E"/>
    <w:rsid w:val="73E47FDC"/>
    <w:rsid w:val="75037008"/>
    <w:rsid w:val="75CC7EBA"/>
    <w:rsid w:val="76AC15F5"/>
    <w:rsid w:val="76D57A8D"/>
    <w:rsid w:val="778363F5"/>
    <w:rsid w:val="789B5C0E"/>
    <w:rsid w:val="78D820F4"/>
    <w:rsid w:val="79007B3E"/>
    <w:rsid w:val="79925B57"/>
    <w:rsid w:val="7A2B5BC9"/>
    <w:rsid w:val="7A666738"/>
    <w:rsid w:val="7E0D4A1C"/>
    <w:rsid w:val="7E84238F"/>
    <w:rsid w:val="7F47BA34"/>
    <w:rsid w:val="7F553D68"/>
    <w:rsid w:val="7F56C0B8"/>
    <w:rsid w:val="7FFFE35E"/>
    <w:rsid w:val="9ABC2679"/>
    <w:rsid w:val="B85F1B55"/>
    <w:rsid w:val="BEDFF090"/>
    <w:rsid w:val="BFFF154D"/>
    <w:rsid w:val="CC2AC410"/>
    <w:rsid w:val="D7CD61DB"/>
    <w:rsid w:val="EEDA72D6"/>
    <w:rsid w:val="F2FDFAE2"/>
    <w:rsid w:val="F55E4AC0"/>
    <w:rsid w:val="FB39A661"/>
    <w:rsid w:val="FDE71344"/>
    <w:rsid w:val="FF33EE6D"/>
    <w:rsid w:val="FFFF6A9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2">
    <w:name w:val="正文-公1"/>
    <w:basedOn w:val="1"/>
    <w:next w:val="1"/>
    <w:qFormat/>
    <w:uiPriority w:val="0"/>
    <w:pPr>
      <w:ind w:firstLine="200" w:firstLineChars="200"/>
      <w:jc w:val="left"/>
    </w:pPr>
    <w:rPr>
      <w:rFonts w:eastAsia="仿宋"/>
    </w:rPr>
  </w:style>
  <w:style w:type="paragraph" w:styleId="4">
    <w:name w:val="table of authorities"/>
    <w:basedOn w:val="1"/>
    <w:next w:val="1"/>
    <w:qFormat/>
    <w:uiPriority w:val="0"/>
    <w:pPr>
      <w:ind w:left="420" w:leftChars="200"/>
    </w:pPr>
    <w:rPr>
      <w:rFonts w:ascii="Calibri" w:hAnsi="Calibri" w:eastAsia="宋体" w:cs="宋体"/>
      <w:sz w:val="21"/>
      <w:szCs w:val="24"/>
    </w:rPr>
  </w:style>
  <w:style w:type="paragraph" w:styleId="5">
    <w:name w:val="Normal Indent"/>
    <w:basedOn w:val="1"/>
    <w:unhideWhenUsed/>
    <w:qFormat/>
    <w:uiPriority w:val="99"/>
    <w:pPr>
      <w:ind w:firstLine="420"/>
    </w:pPr>
    <w:rPr>
      <w:rFonts w:ascii="Times New Roman" w:hAnsi="Times New Roman"/>
      <w:szCs w:val="20"/>
    </w:rPr>
  </w:style>
  <w:style w:type="paragraph" w:styleId="6">
    <w:name w:val="Body Text"/>
    <w:basedOn w:val="1"/>
    <w:qFormat/>
    <w:uiPriority w:val="0"/>
    <w:pPr>
      <w:spacing w:line="360" w:lineRule="auto"/>
    </w:pPr>
    <w:rPr>
      <w:rFonts w:ascii="仿宋_GB2312"/>
      <w:sz w:val="30"/>
      <w:szCs w:val="30"/>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Subtitle"/>
    <w:basedOn w:val="1"/>
    <w:next w:val="1"/>
    <w:qFormat/>
    <w:uiPriority w:val="11"/>
    <w:pPr>
      <w:spacing w:before="240" w:after="60" w:line="312" w:lineRule="auto"/>
      <w:jc w:val="center"/>
      <w:outlineLvl w:val="1"/>
    </w:pPr>
    <w:rPr>
      <w:rFonts w:ascii="Cambria" w:hAnsi="Cambria"/>
      <w:b/>
      <w:bCs/>
      <w:kern w:val="28"/>
      <w:sz w:val="32"/>
      <w:szCs w:val="32"/>
    </w:rPr>
  </w:style>
  <w:style w:type="paragraph" w:styleId="11">
    <w:name w:val="Body Text 2"/>
    <w:basedOn w:val="1"/>
    <w:qFormat/>
    <w:uiPriority w:val="0"/>
    <w:pPr>
      <w:spacing w:after="120" w:line="480" w:lineRule="auto"/>
    </w:pPr>
  </w:style>
  <w:style w:type="paragraph" w:customStyle="1" w:styleId="14">
    <w:name w:val="TOC 标题1"/>
    <w:basedOn w:val="3"/>
    <w:next w:val="1"/>
    <w:qFormat/>
    <w:uiPriority w:val="99"/>
    <w:pPr>
      <w:keepNext w:val="0"/>
      <w:keepLines w:val="0"/>
      <w:spacing w:before="100" w:beforeAutospacing="1" w:after="100" w:afterAutospacing="1" w:line="276" w:lineRule="auto"/>
      <w:jc w:val="left"/>
      <w:outlineLvl w:val="9"/>
    </w:pPr>
    <w:rPr>
      <w:rFonts w:hint="eastAsia" w:ascii="仿宋" w:hAnsi="仿宋" w:eastAsia="仿宋"/>
      <w:bCs w:val="0"/>
      <w:color w:val="000000"/>
      <w:kern w:val="0"/>
      <w:sz w:val="32"/>
      <w:szCs w:val="32"/>
    </w:rPr>
  </w:style>
  <w:style w:type="character" w:customStyle="1" w:styleId="15">
    <w:name w:val="NormalCharacter"/>
    <w:semiHidden/>
    <w:qFormat/>
    <w:uiPriority w:val="99"/>
  </w:style>
  <w:style w:type="paragraph" w:customStyle="1" w:styleId="16">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szCs w:val="24"/>
      <w:lang w:val="en-US" w:eastAsia="zh-CN" w:bidi="ar-SA"/>
    </w:rPr>
  </w:style>
  <w:style w:type="paragraph" w:styleId="17">
    <w:name w:val="No Spacing"/>
    <w:qFormat/>
    <w:uiPriority w:val="1"/>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1675</Words>
  <Characters>1726</Characters>
  <Lines>0</Lines>
  <Paragraphs>0</Paragraphs>
  <TotalTime>42</TotalTime>
  <ScaleCrop>false</ScaleCrop>
  <LinksUpToDate>false</LinksUpToDate>
  <CharactersWithSpaces>1732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2025-05-22T19:20:00Z</dcterms:created>
  <dc:creator>ee</dc:creator>
  <cp:lastModifiedBy>yaya</cp:lastModifiedBy>
  <cp:lastPrinted>2025-06-15T00:18:00Z</cp:lastPrinted>
  <dcterms:modified xsi:type="dcterms:W3CDTF">2026-06-23T06:09:38Z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eyJoZGlkIjoiNzVkYTExOWEzNjQ0YTVkYjFmMTZlNzBlNzc3ZTM0NDEiLCJ1c2VySWQiOiIxMjExMzUyMjQ4In0=</vt:lpwstr>
  </property>
  <property fmtid="{D5CDD505-2E9C-101B-9397-08002B2CF9AE}" pid="4" name="ICV">
    <vt:lpwstr>AD70C2808A1E445AA3038D712F414BF5_13</vt:lpwstr>
  </property>
</Properties>
</file>