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721F42">
      <w:pPr>
        <w:spacing w:line="600" w:lineRule="exact"/>
        <w:jc w:val="both"/>
        <w:rPr>
          <w:rFonts w:hint="eastAsia" w:ascii="黑体" w:hAnsi="黑体" w:eastAsia="黑体" w:cs="黑体"/>
          <w:sz w:val="32"/>
          <w:szCs w:val="32"/>
          <w:highlight w:val="none"/>
          <w:lang w:val="en-US" w:eastAsia="zh-CN"/>
        </w:rPr>
      </w:pPr>
      <w:bookmarkStart w:id="0" w:name="_GoBack"/>
      <w:r>
        <w:rPr>
          <w:rFonts w:hint="eastAsia" w:ascii="黑体" w:hAnsi="黑体" w:eastAsia="黑体" w:cs="黑体"/>
          <w:sz w:val="32"/>
          <w:szCs w:val="32"/>
          <w:highlight w:val="none"/>
          <w:lang w:val="en-US" w:eastAsia="zh-CN"/>
        </w:rPr>
        <w:t>附件1</w:t>
      </w:r>
      <w:r>
        <w:rPr>
          <w:rFonts w:hint="eastAsia" w:ascii="黑体" w:hAnsi="黑体" w:eastAsia="黑体" w:cs="黑体"/>
          <w:sz w:val="32"/>
          <w:szCs w:val="32"/>
          <w:highlight w:val="none"/>
          <w:lang w:val="en-US" w:eastAsia="zh-CN"/>
        </w:rPr>
        <w:t>2</w:t>
      </w:r>
    </w:p>
    <w:bookmarkEnd w:id="0"/>
    <w:p w14:paraId="57F0A30D">
      <w:pPr>
        <w:spacing w:line="600" w:lineRule="exact"/>
        <w:jc w:val="both"/>
        <w:rPr>
          <w:rFonts w:hint="default" w:ascii="Times New Roman" w:hAnsi="Times New Roman" w:eastAsia="方正小标宋简体" w:cs="Times New Roman"/>
          <w:sz w:val="44"/>
          <w:szCs w:val="44"/>
          <w:highlight w:val="none"/>
          <w:lang w:val="en-US" w:eastAsia="zh-CN"/>
        </w:rPr>
      </w:pPr>
    </w:p>
    <w:p w14:paraId="5495AF8D">
      <w:pPr>
        <w:spacing w:line="600" w:lineRule="exact"/>
        <w:jc w:val="center"/>
        <w:outlineLvl w:val="0"/>
        <w:rPr>
          <w:rFonts w:hint="default" w:ascii="Times New Roman" w:hAnsi="Times New Roman" w:eastAsia="方正小标宋简体" w:cs="Times New Roman"/>
          <w:sz w:val="40"/>
          <w:szCs w:val="40"/>
          <w:highlight w:val="none"/>
        </w:rPr>
      </w:pPr>
      <w:r>
        <w:rPr>
          <w:rFonts w:hint="default" w:ascii="Times New Roman" w:hAnsi="Times New Roman" w:eastAsia="方正小标宋简体" w:cs="Times New Roman"/>
          <w:sz w:val="40"/>
          <w:szCs w:val="40"/>
          <w:highlight w:val="none"/>
        </w:rPr>
        <w:t>202</w:t>
      </w:r>
      <w:r>
        <w:rPr>
          <w:rFonts w:hint="default" w:ascii="Times New Roman" w:hAnsi="Times New Roman" w:eastAsia="方正小标宋简体" w:cs="Times New Roman"/>
          <w:sz w:val="40"/>
          <w:szCs w:val="40"/>
          <w:highlight w:val="none"/>
          <w:lang w:val="en-US" w:eastAsia="zh-CN"/>
        </w:rPr>
        <w:t>6</w:t>
      </w:r>
      <w:r>
        <w:rPr>
          <w:rFonts w:hint="default" w:ascii="Times New Roman" w:hAnsi="Times New Roman" w:eastAsia="方正小标宋简体" w:cs="Times New Roman"/>
          <w:sz w:val="40"/>
          <w:szCs w:val="40"/>
          <w:highlight w:val="none"/>
        </w:rPr>
        <w:t>年中央农业</w:t>
      </w:r>
      <w:r>
        <w:rPr>
          <w:rFonts w:hint="default" w:ascii="Times New Roman" w:hAnsi="Times New Roman" w:eastAsia="方正小标宋简体" w:cs="Times New Roman"/>
          <w:sz w:val="40"/>
          <w:szCs w:val="40"/>
          <w:highlight w:val="none"/>
          <w:lang w:eastAsia="zh-CN"/>
        </w:rPr>
        <w:t>经营</w:t>
      </w:r>
      <w:r>
        <w:rPr>
          <w:rFonts w:hint="default" w:ascii="Times New Roman" w:hAnsi="Times New Roman" w:eastAsia="方正小标宋简体" w:cs="Times New Roman"/>
          <w:sz w:val="40"/>
          <w:szCs w:val="40"/>
          <w:highlight w:val="none"/>
        </w:rPr>
        <w:t>主体能力提升资金</w:t>
      </w:r>
    </w:p>
    <w:p w14:paraId="70C42228">
      <w:pPr>
        <w:spacing w:line="600" w:lineRule="exact"/>
        <w:jc w:val="center"/>
        <w:outlineLvl w:val="0"/>
        <w:rPr>
          <w:rFonts w:hint="default" w:ascii="Times New Roman" w:hAnsi="Times New Roman" w:eastAsia="方正小标宋简体" w:cs="Times New Roman"/>
          <w:sz w:val="40"/>
          <w:szCs w:val="40"/>
          <w:highlight w:val="none"/>
          <w:lang w:val="en-US" w:eastAsia="zh-CN"/>
        </w:rPr>
      </w:pPr>
      <w:r>
        <w:rPr>
          <w:rFonts w:hint="default" w:ascii="Times New Roman" w:hAnsi="Times New Roman" w:eastAsia="方正小标宋简体" w:cs="Times New Roman"/>
          <w:sz w:val="40"/>
          <w:szCs w:val="40"/>
          <w:highlight w:val="none"/>
        </w:rPr>
        <w:t>（粮油规模种植主体单产提升）项目实施方案（</w:t>
      </w:r>
      <w:r>
        <w:rPr>
          <w:rFonts w:hint="default" w:ascii="Times New Roman" w:hAnsi="Times New Roman" w:eastAsia="方正小标宋简体" w:cs="Times New Roman"/>
          <w:sz w:val="40"/>
          <w:szCs w:val="40"/>
          <w:highlight w:val="none"/>
          <w:lang w:val="en-US" w:eastAsia="zh-CN"/>
        </w:rPr>
        <w:t>指南</w:t>
      </w:r>
      <w:r>
        <w:rPr>
          <w:rFonts w:hint="default" w:ascii="Times New Roman" w:hAnsi="Times New Roman" w:eastAsia="方正小标宋简体" w:cs="Times New Roman"/>
          <w:sz w:val="40"/>
          <w:szCs w:val="40"/>
          <w:highlight w:val="none"/>
        </w:rPr>
        <w:t>）</w:t>
      </w:r>
    </w:p>
    <w:p w14:paraId="2C5439C0">
      <w:pPr>
        <w:spacing w:line="600" w:lineRule="exact"/>
        <w:rPr>
          <w:rFonts w:hint="default" w:ascii="Times New Roman" w:hAnsi="Times New Roman" w:eastAsia="仿宋_GB2312" w:cs="Times New Roman"/>
          <w:sz w:val="32"/>
          <w:szCs w:val="32"/>
          <w:highlight w:val="none"/>
        </w:rPr>
      </w:pPr>
    </w:p>
    <w:p w14:paraId="5BB649AF">
      <w:pPr>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按照《农业农村部办公厅关于印发</w:t>
      </w:r>
      <w:r>
        <w:rPr>
          <w:rFonts w:hint="default" w:ascii="Times New Roman" w:hAnsi="Times New Roman" w:eastAsia="方正小标宋简体" w:cs="Times New Roman"/>
          <w:sz w:val="32"/>
          <w:szCs w:val="32"/>
          <w:highlight w:val="none"/>
        </w:rPr>
        <w:t>〈</w:t>
      </w:r>
      <w:r>
        <w:rPr>
          <w:rFonts w:hint="default" w:ascii="Times New Roman" w:hAnsi="Times New Roman" w:eastAsia="仿宋_GB2312" w:cs="Times New Roman"/>
          <w:sz w:val="32"/>
          <w:szCs w:val="32"/>
          <w:highlight w:val="none"/>
        </w:rPr>
        <w:t>20</w:t>
      </w:r>
      <w:r>
        <w:rPr>
          <w:rFonts w:hint="default" w:ascii="Times New Roman" w:hAnsi="Times New Roman" w:eastAsia="仿宋_GB2312" w:cs="Times New Roman"/>
          <w:sz w:val="32"/>
          <w:szCs w:val="32"/>
          <w:highlight w:val="none"/>
          <w:lang w:val="en-US" w:eastAsia="zh-CN"/>
        </w:rPr>
        <w:t>26</w:t>
      </w:r>
      <w:r>
        <w:rPr>
          <w:rFonts w:hint="default" w:ascii="Times New Roman" w:hAnsi="Times New Roman" w:eastAsia="仿宋_GB2312" w:cs="Times New Roman"/>
          <w:sz w:val="32"/>
          <w:szCs w:val="32"/>
          <w:highlight w:val="none"/>
        </w:rPr>
        <w:t>年粮油规模种植主体单产提升项目实施方案</w:t>
      </w:r>
      <w:r>
        <w:rPr>
          <w:rFonts w:hint="default" w:ascii="Times New Roman" w:hAnsi="Times New Roman" w:eastAsia="方正小标宋简体" w:cs="Times New Roman"/>
          <w:sz w:val="32"/>
          <w:szCs w:val="32"/>
          <w:highlight w:val="none"/>
        </w:rPr>
        <w:t>〉</w:t>
      </w:r>
      <w:r>
        <w:rPr>
          <w:rFonts w:hint="default" w:ascii="Times New Roman" w:hAnsi="Times New Roman" w:eastAsia="仿宋_GB2312" w:cs="Times New Roman"/>
          <w:sz w:val="32"/>
          <w:highlight w:val="none"/>
        </w:rPr>
        <w:t>的通知</w:t>
      </w:r>
      <w:r>
        <w:rPr>
          <w:rFonts w:hint="default" w:ascii="Times New Roman" w:hAnsi="Times New Roman" w:eastAsia="仿宋_GB2312" w:cs="Times New Roman"/>
          <w:sz w:val="32"/>
          <w:szCs w:val="32"/>
          <w:highlight w:val="none"/>
        </w:rPr>
        <w:t>》要求，重点支持粮油规模种植主体集成应用现代化生产技术，辐射带动小农户改变落后种植习惯，推进全省粮油单产水平进一步提升，助力吉林省粮油生产高质量发展，结合我省实际，制定本实施方案。</w:t>
      </w:r>
    </w:p>
    <w:p w14:paraId="2C63DA19">
      <w:pPr>
        <w:spacing w:line="600" w:lineRule="exact"/>
        <w:ind w:firstLine="640" w:firstLineChars="200"/>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一、绩效目标</w:t>
      </w:r>
    </w:p>
    <w:p w14:paraId="1E26848A">
      <w:pPr>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围绕玉米、大豆</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水稻、花生</w:t>
      </w:r>
      <w:r>
        <w:rPr>
          <w:rFonts w:hint="default" w:ascii="Times New Roman" w:hAnsi="Times New Roman" w:eastAsia="仿宋_GB2312" w:cs="Times New Roman"/>
          <w:sz w:val="32"/>
          <w:szCs w:val="32"/>
          <w:highlight w:val="none"/>
        </w:rPr>
        <w:t>等主要粮油作物</w:t>
      </w:r>
      <w:r>
        <w:rPr>
          <w:rFonts w:hint="default" w:ascii="Times New Roman" w:hAnsi="Times New Roman" w:eastAsia="仿宋_GB2312" w:cs="Times New Roman"/>
          <w:sz w:val="32"/>
          <w:szCs w:val="32"/>
          <w:highlight w:val="none"/>
          <w:lang w:val="en-US" w:eastAsia="zh-CN"/>
        </w:rPr>
        <w:t>单产提升</w:t>
      </w:r>
      <w:r>
        <w:rPr>
          <w:rFonts w:hint="default" w:ascii="Times New Roman" w:hAnsi="Times New Roman" w:eastAsia="仿宋_GB2312" w:cs="Times New Roman"/>
          <w:sz w:val="32"/>
          <w:szCs w:val="32"/>
          <w:highlight w:val="none"/>
        </w:rPr>
        <w:t>，通过</w:t>
      </w:r>
      <w:r>
        <w:rPr>
          <w:rFonts w:hint="default" w:ascii="Times New Roman" w:hAnsi="Times New Roman" w:eastAsia="仿宋_GB2312" w:cs="Times New Roman"/>
          <w:sz w:val="32"/>
          <w:szCs w:val="32"/>
          <w:highlight w:val="none"/>
          <w:lang w:val="en-US" w:eastAsia="zh-CN"/>
        </w:rPr>
        <w:t>资金</w:t>
      </w:r>
      <w:r>
        <w:rPr>
          <w:rFonts w:hint="default" w:ascii="Times New Roman" w:hAnsi="Times New Roman" w:eastAsia="仿宋_GB2312" w:cs="Times New Roman"/>
          <w:sz w:val="32"/>
          <w:szCs w:val="32"/>
          <w:highlight w:val="none"/>
        </w:rPr>
        <w:t>支持，</w:t>
      </w:r>
      <w:r>
        <w:rPr>
          <w:rFonts w:hint="default" w:ascii="Times New Roman" w:hAnsi="Times New Roman" w:eastAsia="仿宋_GB2312" w:cs="Times New Roman"/>
          <w:sz w:val="32"/>
          <w:szCs w:val="32"/>
          <w:highlight w:val="none"/>
          <w:lang w:val="en-US" w:eastAsia="zh-CN"/>
        </w:rPr>
        <w:t>补齐“水肥一体化+密植”“一喷多促”等技术落实短板，</w:t>
      </w:r>
      <w:r>
        <w:rPr>
          <w:rFonts w:hint="default" w:ascii="Times New Roman" w:hAnsi="Times New Roman" w:eastAsia="仿宋_GB2312" w:cs="Times New Roman"/>
          <w:sz w:val="32"/>
          <w:szCs w:val="32"/>
          <w:highlight w:val="none"/>
        </w:rPr>
        <w:t>进一步提升规模种植主体的生产能力和管理水平，落实粮油单产提升技术到位率</w:t>
      </w:r>
      <w:r>
        <w:rPr>
          <w:rFonts w:hint="default" w:ascii="Times New Roman" w:hAnsi="Times New Roman" w:eastAsia="仿宋_GB2312" w:cs="Times New Roman"/>
          <w:sz w:val="32"/>
          <w:szCs w:val="32"/>
          <w:highlight w:val="none"/>
          <w:lang w:val="en-US" w:eastAsia="zh-CN"/>
        </w:rPr>
        <w:t>95%以上，</w:t>
      </w:r>
      <w:r>
        <w:rPr>
          <w:rFonts w:hint="default" w:ascii="Times New Roman" w:hAnsi="Times New Roman" w:eastAsia="仿宋_GB2312" w:cs="Times New Roman"/>
          <w:sz w:val="32"/>
          <w:szCs w:val="32"/>
          <w:highlight w:val="none"/>
        </w:rPr>
        <w:t>单产提升关键技术</w:t>
      </w:r>
      <w:r>
        <w:rPr>
          <w:rFonts w:hint="default" w:ascii="Times New Roman" w:hAnsi="Times New Roman" w:eastAsia="仿宋_GB2312" w:cs="Times New Roman"/>
          <w:sz w:val="32"/>
          <w:szCs w:val="32"/>
          <w:highlight w:val="none"/>
          <w:lang w:val="en-US" w:eastAsia="zh-CN"/>
        </w:rPr>
        <w:t>660.1</w:t>
      </w:r>
      <w:r>
        <w:rPr>
          <w:rFonts w:hint="default" w:ascii="Times New Roman" w:hAnsi="Times New Roman" w:eastAsia="仿宋_GB2312" w:cs="Times New Roman"/>
          <w:sz w:val="32"/>
          <w:szCs w:val="32"/>
          <w:highlight w:val="none"/>
        </w:rPr>
        <w:t>万亩次以上，更好引领带动全省大面积均衡增产，将专家产量转化为农民产量、典型产量转化为大田产量，推动全省粮油生产高质量发展，保障国家粮食安全。</w:t>
      </w:r>
    </w:p>
    <w:p w14:paraId="6D49A4D4">
      <w:pPr>
        <w:spacing w:line="600" w:lineRule="exact"/>
        <w:ind w:firstLine="640" w:firstLineChars="200"/>
        <w:outlineLvl w:val="0"/>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rPr>
        <w:t>二、实施范围</w:t>
      </w:r>
      <w:r>
        <w:rPr>
          <w:rFonts w:hint="default" w:ascii="Times New Roman" w:hAnsi="Times New Roman" w:eastAsia="黑体" w:cs="Times New Roman"/>
          <w:sz w:val="32"/>
          <w:szCs w:val="32"/>
          <w:highlight w:val="none"/>
          <w:lang w:val="en-US" w:eastAsia="zh-CN"/>
        </w:rPr>
        <w:t>和技术路径</w:t>
      </w:r>
    </w:p>
    <w:p w14:paraId="3BC97B70">
      <w:pPr>
        <w:keepNext w:val="0"/>
        <w:keepLines w:val="0"/>
        <w:pageBreakBefore w:val="0"/>
        <w:widowControl w:val="0"/>
        <w:kinsoku/>
        <w:wordWrap/>
        <w:overflowPunct/>
        <w:topLinePunct w:val="0"/>
        <w:autoSpaceDE/>
        <w:autoSpaceDN/>
        <w:bidi w:val="0"/>
        <w:adjustRightInd/>
        <w:snapToGrid/>
        <w:spacing w:line="62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支持在除绿色高产高效项目县外的整建制推进县和有高标准农田配建“水肥一体化”设备任务的县份实施，主要推广“水肥一体化+密植”技术。</w:t>
      </w:r>
    </w:p>
    <w:p w14:paraId="4B078565">
      <w:pPr>
        <w:spacing w:line="600" w:lineRule="exact"/>
        <w:ind w:firstLine="640" w:firstLineChars="200"/>
        <w:outlineLvl w:val="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lang w:val="en-US" w:eastAsia="zh-CN"/>
        </w:rPr>
        <w:t>三</w:t>
      </w:r>
      <w:r>
        <w:rPr>
          <w:rFonts w:hint="default" w:ascii="Times New Roman" w:hAnsi="Times New Roman" w:eastAsia="黑体" w:cs="Times New Roman"/>
          <w:sz w:val="32"/>
          <w:szCs w:val="32"/>
          <w:highlight w:val="none"/>
        </w:rPr>
        <w:t>、奖补对象</w:t>
      </w:r>
    </w:p>
    <w:p w14:paraId="4E6B387F">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highlight w:val="none"/>
        </w:rPr>
        <w:t>奖补对象主要是应用集成技术模式种植玉米、大豆等粮油作物的规模主体和水田种植主体</w:t>
      </w:r>
      <w:r>
        <w:rPr>
          <w:rFonts w:hint="default" w:ascii="Times New Roman" w:hAnsi="Times New Roman" w:eastAsia="仿宋_GB2312" w:cs="Times New Roman"/>
          <w:sz w:val="32"/>
          <w:szCs w:val="32"/>
          <w:highlight w:val="none"/>
        </w:rPr>
        <w:t>，种植大户需露地种植农作物的耕地达到100亩及以上（按照第三次全国农业普查方案相关内容界定）</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具体包括家庭农场、合作社、种植大户，村集体经济组织、实施全程托管的主体、积极承担撂荒地复耕复种粮油作物达到当地平均产量水平的主体。</w:t>
      </w:r>
    </w:p>
    <w:p w14:paraId="4E3B27B8">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outlineLvl w:val="0"/>
        <w:rPr>
          <w:rFonts w:hint="default" w:ascii="Times New Roman" w:hAnsi="Times New Roman" w:eastAsia="黑体" w:cs="Times New Roman"/>
          <w:sz w:val="32"/>
          <w:szCs w:val="32"/>
          <w:highlight w:val="none"/>
          <w:lang w:val="en-US" w:eastAsia="zh-CN"/>
        </w:rPr>
      </w:pPr>
      <w:r>
        <w:rPr>
          <w:rFonts w:hint="default" w:ascii="Times New Roman" w:hAnsi="Times New Roman" w:eastAsia="黑体" w:cs="Times New Roman"/>
          <w:sz w:val="32"/>
          <w:szCs w:val="32"/>
          <w:highlight w:val="none"/>
          <w:lang w:val="en-US" w:eastAsia="zh-CN"/>
        </w:rPr>
        <w:t>三</w:t>
      </w:r>
      <w:r>
        <w:rPr>
          <w:rFonts w:hint="default" w:ascii="Times New Roman" w:hAnsi="Times New Roman" w:eastAsia="黑体" w:cs="Times New Roman"/>
          <w:sz w:val="32"/>
          <w:szCs w:val="32"/>
          <w:highlight w:val="none"/>
        </w:rPr>
        <w:t>、奖补标准</w:t>
      </w:r>
      <w:r>
        <w:rPr>
          <w:rFonts w:hint="default" w:ascii="Times New Roman" w:hAnsi="Times New Roman" w:eastAsia="黑体" w:cs="Times New Roman"/>
          <w:sz w:val="32"/>
          <w:szCs w:val="32"/>
          <w:highlight w:val="none"/>
          <w:lang w:val="en-US" w:eastAsia="zh-CN"/>
        </w:rPr>
        <w:t>及实施步骤</w:t>
      </w:r>
    </w:p>
    <w:p w14:paraId="397B76C1">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年项目资金</w:t>
      </w:r>
      <w:r>
        <w:rPr>
          <w:rFonts w:hint="default" w:ascii="Times New Roman" w:hAnsi="Times New Roman" w:eastAsia="仿宋_GB2312" w:cs="Times New Roman"/>
          <w:sz w:val="32"/>
          <w:szCs w:val="32"/>
          <w:highlight w:val="none"/>
          <w:lang w:val="en-US" w:eastAsia="zh-CN"/>
        </w:rPr>
        <w:t>可</w:t>
      </w:r>
      <w:r>
        <w:rPr>
          <w:rFonts w:hint="default" w:ascii="Times New Roman" w:hAnsi="Times New Roman" w:eastAsia="仿宋_GB2312" w:cs="Times New Roman"/>
          <w:sz w:val="32"/>
          <w:szCs w:val="32"/>
          <w:highlight w:val="none"/>
        </w:rPr>
        <w:t>与上年项目资金统筹使用，</w:t>
      </w:r>
      <w:r>
        <w:rPr>
          <w:rFonts w:hint="default" w:ascii="Times New Roman" w:hAnsi="Times New Roman" w:eastAsia="仿宋_GB2312" w:cs="Times New Roman"/>
          <w:sz w:val="32"/>
          <w:szCs w:val="32"/>
          <w:highlight w:val="none"/>
          <w:lang w:val="en-US" w:eastAsia="zh-CN"/>
        </w:rPr>
        <w:t>原则上购置毛管每亩不超过30元，其余</w:t>
      </w:r>
      <w:r>
        <w:rPr>
          <w:rFonts w:hint="default" w:ascii="Times New Roman" w:hAnsi="Times New Roman" w:eastAsia="仿宋_GB2312" w:cs="Times New Roman"/>
          <w:sz w:val="32"/>
          <w:highlight w:val="none"/>
        </w:rPr>
        <w:t>具体奖补标准和水田奖补</w:t>
      </w:r>
      <w:r>
        <w:rPr>
          <w:rFonts w:hint="default" w:ascii="Times New Roman" w:hAnsi="Times New Roman" w:eastAsia="仿宋_GB2312" w:cs="Times New Roman"/>
          <w:sz w:val="32"/>
          <w:szCs w:val="32"/>
          <w:highlight w:val="none"/>
        </w:rPr>
        <w:t>由各项目县（市、区）结合本地生产实际情况</w:t>
      </w:r>
      <w:r>
        <w:rPr>
          <w:rFonts w:hint="default" w:ascii="Times New Roman" w:hAnsi="Times New Roman" w:eastAsia="仿宋_GB2312" w:cs="Times New Roman"/>
          <w:sz w:val="32"/>
          <w:szCs w:val="32"/>
          <w:highlight w:val="none"/>
          <w:lang w:val="en-US" w:eastAsia="zh-CN"/>
        </w:rPr>
        <w:t>自主制定，</w:t>
      </w:r>
      <w:r>
        <w:rPr>
          <w:rFonts w:hint="default" w:ascii="Times New Roman" w:hAnsi="Times New Roman" w:eastAsia="仿宋_GB2312" w:cs="Times New Roman"/>
          <w:sz w:val="32"/>
          <w:szCs w:val="32"/>
          <w:highlight w:val="none"/>
        </w:rPr>
        <w:t>对单个主体奖补金额最高不得超过</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rPr>
        <w:t>0万元。</w:t>
      </w:r>
    </w:p>
    <w:p w14:paraId="40688AB1">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楷体_GB2312" w:cs="Times New Roman"/>
          <w:sz w:val="32"/>
          <w:szCs w:val="32"/>
          <w:highlight w:val="none"/>
          <w:lang w:val="en-US" w:eastAsia="zh-CN"/>
        </w:rPr>
        <w:t>（一）购置毛管</w:t>
      </w:r>
      <w:r>
        <w:rPr>
          <w:rFonts w:hint="default" w:ascii="Times New Roman" w:hAnsi="Times New Roman" w:eastAsia="仿宋_GB2312" w:cs="Times New Roman"/>
          <w:sz w:val="32"/>
          <w:szCs w:val="32"/>
          <w:highlight w:val="none"/>
          <w:lang w:val="en-US" w:eastAsia="zh-CN"/>
        </w:rPr>
        <w:t>。优先保障2026年玉米大豆单产提升工程项目和高标准农田项目农户购置毛管给予补贴，每亩不超过30元，项目为先建后补类项目，</w:t>
      </w:r>
      <w:r>
        <w:rPr>
          <w:rFonts w:hint="default" w:ascii="Times New Roman" w:hAnsi="Times New Roman" w:eastAsia="仿宋_GB2312" w:cs="Times New Roman"/>
          <w:bCs/>
          <w:w w:val="98"/>
          <w:kern w:val="2"/>
          <w:sz w:val="32"/>
          <w:szCs w:val="32"/>
          <w:highlight w:val="none"/>
          <w:lang w:val="en-US" w:eastAsia="zh-CN" w:bidi="ar-SA"/>
        </w:rPr>
        <w:t>项目采取“实施主体申报，县级验收、市级复核”的原则，符合项目申报条件的投资建设主体，主动向项目所在地县级农业农村局申报，提供购置毛管的发票等佐证材料。7月30日前，县级农业农村局完成对辖区内新铺设水肥一体化的抽查验收工作，抽查比例不得低于30%，同时向市级提交复核验收申请。8月15日前，市（州）农业农村局完成对全市新建水肥一体化设施设备进行实地复核确认，抽查比例不得低于10%，并向省农业农村厅上报复核确认报告。</w:t>
      </w:r>
    </w:p>
    <w:p w14:paraId="1636D2F7">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楷体_GB2312" w:cs="Times New Roman"/>
          <w:sz w:val="32"/>
          <w:szCs w:val="32"/>
          <w:highlight w:val="none"/>
          <w:lang w:val="en-US" w:eastAsia="zh-CN"/>
        </w:rPr>
        <w:t>（二）打通水肥一体化技术难点问题</w:t>
      </w:r>
      <w:r>
        <w:rPr>
          <w:rFonts w:hint="default" w:ascii="Times New Roman" w:hAnsi="Times New Roman" w:eastAsia="仿宋_GB2312" w:cs="Times New Roman"/>
          <w:sz w:val="32"/>
          <w:highlight w:val="none"/>
          <w:lang w:val="en-US" w:eastAsia="zh-CN"/>
        </w:rPr>
        <w:t>。在优先</w:t>
      </w:r>
      <w:r>
        <w:rPr>
          <w:rFonts w:hint="default" w:ascii="Times New Roman" w:hAnsi="Times New Roman" w:eastAsia="仿宋_GB2312" w:cs="Times New Roman"/>
          <w:sz w:val="32"/>
          <w:szCs w:val="32"/>
          <w:highlight w:val="none"/>
          <w:lang w:val="en-US" w:eastAsia="zh-CN"/>
        </w:rPr>
        <w:t>完成2026年玉米大豆单产提升工程项目和高标准农田项目毛管补贴后，可</w:t>
      </w:r>
      <w:r>
        <w:rPr>
          <w:rFonts w:hint="default" w:ascii="Times New Roman" w:hAnsi="Times New Roman" w:eastAsia="仿宋_GB2312" w:cs="Times New Roman"/>
          <w:sz w:val="32"/>
          <w:highlight w:val="none"/>
          <w:lang w:val="en-US" w:eastAsia="zh-CN"/>
        </w:rPr>
        <w:t>由政府</w:t>
      </w:r>
      <w:r>
        <w:rPr>
          <w:rFonts w:hint="default" w:ascii="Times New Roman" w:hAnsi="Times New Roman" w:eastAsia="仿宋_GB2312" w:cs="Times New Roman"/>
          <w:sz w:val="32"/>
          <w:szCs w:val="32"/>
          <w:highlight w:val="none"/>
          <w:lang w:val="en-US" w:eastAsia="zh-CN"/>
        </w:rPr>
        <w:t>统一实施打通推广水肥一体化的难点问题，如部分地区缺井、少电、缺失首部等，确保完成本年度高标准农田配建水肥一体化工作任务。</w:t>
      </w:r>
    </w:p>
    <w:p w14:paraId="43898198">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楷体_GB2312" w:cs="Times New Roman"/>
          <w:sz w:val="32"/>
          <w:szCs w:val="32"/>
          <w:highlight w:val="none"/>
          <w:lang w:val="en-US" w:eastAsia="zh-CN"/>
        </w:rPr>
        <w:t>（三）推广“一喷多促”等增产技术。</w:t>
      </w:r>
      <w:r>
        <w:rPr>
          <w:rFonts w:hint="default" w:ascii="Times New Roman" w:hAnsi="Times New Roman" w:eastAsia="仿宋_GB2312" w:cs="Times New Roman"/>
          <w:sz w:val="32"/>
          <w:highlight w:val="none"/>
          <w:lang w:val="en-US" w:eastAsia="zh-CN"/>
        </w:rPr>
        <w:t>在完成水肥一体化年度建设任务的基础上，各地可统筹实施水田种植奖补、</w:t>
      </w:r>
      <w:r>
        <w:rPr>
          <w:rFonts w:hint="default" w:ascii="Times New Roman" w:hAnsi="Times New Roman" w:eastAsia="仿宋_GB2312" w:cs="Times New Roman"/>
          <w:sz w:val="32"/>
          <w:szCs w:val="32"/>
          <w:highlight w:val="none"/>
          <w:lang w:val="en-US" w:eastAsia="zh-CN"/>
        </w:rPr>
        <w:t>“一喷多促”等增产技术推广应用，每亩补助标准不得超过省厅限价，具体由政府通过购买服务的方式招标进行。</w:t>
      </w:r>
    </w:p>
    <w:p w14:paraId="156CC16F">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黑体" w:cs="Times New Roman"/>
          <w:sz w:val="32"/>
          <w:szCs w:val="32"/>
          <w:highlight w:val="none"/>
          <w:lang w:val="en-US" w:eastAsia="zh-CN"/>
        </w:rPr>
        <w:t>四</w:t>
      </w:r>
      <w:r>
        <w:rPr>
          <w:rFonts w:hint="default" w:ascii="Times New Roman" w:hAnsi="Times New Roman" w:eastAsia="黑体" w:cs="Times New Roman"/>
          <w:sz w:val="32"/>
          <w:szCs w:val="32"/>
          <w:highlight w:val="none"/>
        </w:rPr>
        <w:t>、实施要求</w:t>
      </w:r>
    </w:p>
    <w:p w14:paraId="421900AA">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一</w:t>
      </w:r>
      <w:r>
        <w:rPr>
          <w:rFonts w:hint="default" w:ascii="Times New Roman" w:hAnsi="Times New Roman" w:eastAsia="楷体_GB2312" w:cs="Times New Roman"/>
          <w:sz w:val="32"/>
          <w:szCs w:val="32"/>
          <w:highlight w:val="none"/>
          <w:lang w:eastAsia="zh-CN"/>
        </w:rPr>
        <w:t>）</w:t>
      </w:r>
      <w:r>
        <w:rPr>
          <w:rFonts w:hint="default" w:ascii="Times New Roman" w:hAnsi="Times New Roman" w:eastAsia="楷体_GB2312" w:cs="Times New Roman"/>
          <w:sz w:val="32"/>
          <w:szCs w:val="32"/>
          <w:highlight w:val="none"/>
          <w:lang w:val="en-US" w:eastAsia="zh-CN"/>
        </w:rPr>
        <w:t>做好项目方案细化</w:t>
      </w:r>
      <w:r>
        <w:rPr>
          <w:rFonts w:hint="default" w:ascii="Times New Roman" w:hAnsi="Times New Roman" w:eastAsia="黑体" w:cs="Times New Roman"/>
          <w:sz w:val="32"/>
          <w:szCs w:val="32"/>
          <w:highlight w:val="none"/>
        </w:rPr>
        <w:t>。</w:t>
      </w:r>
      <w:r>
        <w:rPr>
          <w:rFonts w:hint="default" w:ascii="Times New Roman" w:hAnsi="Times New Roman" w:eastAsia="仿宋_GB2312" w:cs="Times New Roman"/>
          <w:sz w:val="32"/>
          <w:szCs w:val="32"/>
          <w:highlight w:val="none"/>
        </w:rPr>
        <w:t>各项目县根据省级方案要求，因地制宜细化本级实施方案，明确</w:t>
      </w:r>
      <w:r>
        <w:rPr>
          <w:rFonts w:hint="default" w:ascii="Times New Roman" w:hAnsi="Times New Roman" w:eastAsia="仿宋_GB2312" w:cs="Times New Roman"/>
          <w:sz w:val="32"/>
          <w:szCs w:val="32"/>
          <w:highlight w:val="none"/>
          <w:lang w:val="en-US" w:eastAsia="zh-CN"/>
        </w:rPr>
        <w:t>补助标准</w:t>
      </w:r>
      <w:r>
        <w:rPr>
          <w:rFonts w:hint="default" w:ascii="Times New Roman" w:hAnsi="Times New Roman" w:eastAsia="仿宋_GB2312" w:cs="Times New Roman"/>
          <w:sz w:val="32"/>
          <w:szCs w:val="32"/>
          <w:highlight w:val="none"/>
        </w:rPr>
        <w:t>，适当扩大项目覆盖面积，提高项目影响力。搭建并完善“村—镇—县”三级监管体系，确保项目实施公平公正。项目方案于</w:t>
      </w:r>
      <w:r>
        <w:rPr>
          <w:rFonts w:hint="default" w:ascii="Times New Roman" w:hAnsi="Times New Roman" w:eastAsia="仿宋_GB2312" w:cs="Times New Roman"/>
          <w:sz w:val="32"/>
          <w:szCs w:val="32"/>
          <w:highlight w:val="none"/>
          <w:lang w:val="en-US" w:eastAsia="zh-CN"/>
        </w:rPr>
        <w:t>7</w:t>
      </w:r>
      <w:r>
        <w:rPr>
          <w:rFonts w:hint="default" w:ascii="Times New Roman" w:hAnsi="Times New Roman" w:eastAsia="仿宋_GB2312" w:cs="Times New Roman"/>
          <w:sz w:val="32"/>
          <w:szCs w:val="32"/>
          <w:highlight w:val="none"/>
        </w:rPr>
        <w:t>月15日前上报农业农村厅备案。</w:t>
      </w:r>
    </w:p>
    <w:p w14:paraId="399F927A">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lang w:eastAsia="zh-CN"/>
        </w:rPr>
      </w:pPr>
      <w:r>
        <w:rPr>
          <w:rFonts w:hint="default" w:ascii="Times New Roman" w:hAnsi="Times New Roman" w:eastAsia="楷体_GB2312" w:cs="Times New Roman"/>
          <w:sz w:val="32"/>
          <w:szCs w:val="32"/>
          <w:highlight w:val="none"/>
          <w:lang w:val="en-US" w:eastAsia="zh-CN"/>
        </w:rPr>
        <w:t>（二）做好主体申报。</w:t>
      </w:r>
      <w:r>
        <w:rPr>
          <w:rFonts w:hint="default" w:ascii="Times New Roman" w:hAnsi="Times New Roman" w:eastAsia="仿宋_GB2312" w:cs="Times New Roman"/>
          <w:sz w:val="32"/>
          <w:szCs w:val="32"/>
          <w:highlight w:val="none"/>
        </w:rPr>
        <w:t>各项目县要广泛动员</w:t>
      </w:r>
      <w:r>
        <w:rPr>
          <w:rFonts w:hint="default" w:ascii="Times New Roman" w:hAnsi="Times New Roman" w:eastAsia="仿宋_GB2312" w:cs="Times New Roman"/>
          <w:sz w:val="32"/>
          <w:szCs w:val="32"/>
          <w:highlight w:val="none"/>
          <w:lang w:val="en-US" w:eastAsia="zh-CN"/>
        </w:rPr>
        <w:t>规模种</w:t>
      </w:r>
      <w:r>
        <w:rPr>
          <w:rFonts w:hint="default" w:ascii="Times New Roman" w:hAnsi="Times New Roman" w:eastAsia="仿宋_GB2312" w:cs="Times New Roman"/>
          <w:sz w:val="32"/>
          <w:szCs w:val="32"/>
          <w:highlight w:val="none"/>
        </w:rPr>
        <w:t>植主体积极参与项目，有序组织主体自主申报</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要结合奖补方式、技术模式，及时准确汇总主体申报材料。以资金形式奖补的，主体申报</w:t>
      </w:r>
      <w:r>
        <w:rPr>
          <w:rFonts w:hint="default" w:ascii="Times New Roman" w:hAnsi="Times New Roman" w:eastAsia="仿宋_GB2312" w:cs="Times New Roman"/>
          <w:sz w:val="32"/>
          <w:szCs w:val="32"/>
          <w:highlight w:val="none"/>
        </w:rPr>
        <w:t>材料需明确技术实施面积</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技术应用</w:t>
      </w:r>
      <w:r>
        <w:rPr>
          <w:rFonts w:hint="default" w:ascii="Times New Roman" w:hAnsi="Times New Roman" w:eastAsia="仿宋_GB2312" w:cs="Times New Roman"/>
          <w:sz w:val="32"/>
          <w:szCs w:val="32"/>
          <w:highlight w:val="none"/>
        </w:rPr>
        <w:t>过程图片、</w:t>
      </w:r>
      <w:r>
        <w:rPr>
          <w:rFonts w:hint="default" w:ascii="Times New Roman" w:hAnsi="Times New Roman" w:eastAsia="仿宋_GB2312" w:cs="Times New Roman"/>
          <w:sz w:val="32"/>
          <w:szCs w:val="32"/>
          <w:highlight w:val="none"/>
          <w:lang w:val="en-US" w:eastAsia="zh-CN"/>
        </w:rPr>
        <w:t>物资购买信息</w:t>
      </w:r>
      <w:r>
        <w:rPr>
          <w:rFonts w:hint="default" w:ascii="Times New Roman" w:hAnsi="Times New Roman" w:eastAsia="仿宋_GB2312" w:cs="Times New Roman"/>
          <w:sz w:val="32"/>
          <w:szCs w:val="32"/>
          <w:highlight w:val="none"/>
        </w:rPr>
        <w:t>等</w:t>
      </w:r>
      <w:r>
        <w:rPr>
          <w:rFonts w:hint="default" w:ascii="Times New Roman" w:hAnsi="Times New Roman" w:eastAsia="仿宋_GB2312" w:cs="Times New Roman"/>
          <w:sz w:val="32"/>
          <w:szCs w:val="32"/>
          <w:highlight w:val="none"/>
          <w:lang w:val="en-US" w:eastAsia="zh-CN"/>
        </w:rPr>
        <w:t>合法有效佐证</w:t>
      </w:r>
      <w:r>
        <w:rPr>
          <w:rFonts w:hint="default" w:ascii="Times New Roman" w:hAnsi="Times New Roman" w:eastAsia="仿宋_GB2312" w:cs="Times New Roman"/>
          <w:sz w:val="32"/>
          <w:szCs w:val="32"/>
          <w:highlight w:val="none"/>
        </w:rPr>
        <w:t>信息。</w:t>
      </w:r>
      <w:r>
        <w:rPr>
          <w:rFonts w:hint="default" w:ascii="Times New Roman" w:hAnsi="Times New Roman" w:eastAsia="仿宋_GB2312" w:cs="Times New Roman"/>
          <w:sz w:val="32"/>
          <w:szCs w:val="32"/>
          <w:highlight w:val="none"/>
          <w:lang w:val="en-US" w:eastAsia="zh-CN"/>
        </w:rPr>
        <w:t>通过政府购买服务形式奖补的，主体申报材料可适当简化，明</w:t>
      </w:r>
      <w:r>
        <w:rPr>
          <w:rFonts w:hint="default" w:ascii="Times New Roman" w:hAnsi="Times New Roman" w:eastAsia="仿宋_GB2312" w:cs="Times New Roman"/>
          <w:sz w:val="32"/>
          <w:szCs w:val="32"/>
          <w:highlight w:val="none"/>
        </w:rPr>
        <w:t>确技术实施面积</w:t>
      </w:r>
      <w:r>
        <w:rPr>
          <w:rFonts w:hint="default" w:ascii="Times New Roman" w:hAnsi="Times New Roman" w:eastAsia="仿宋_GB2312" w:cs="Times New Roman"/>
          <w:sz w:val="32"/>
          <w:szCs w:val="32"/>
          <w:highlight w:val="none"/>
          <w:lang w:val="en-US" w:eastAsia="zh-CN"/>
        </w:rPr>
        <w:t>等基本信息即可</w:t>
      </w:r>
      <w:r>
        <w:rPr>
          <w:rFonts w:hint="default" w:ascii="Times New Roman" w:hAnsi="Times New Roman" w:eastAsia="仿宋_GB2312" w:cs="Times New Roman"/>
          <w:sz w:val="32"/>
          <w:szCs w:val="32"/>
          <w:highlight w:val="none"/>
          <w:lang w:eastAsia="zh-CN"/>
        </w:rPr>
        <w:t>。</w:t>
      </w:r>
    </w:p>
    <w:p w14:paraId="3621FA37">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lang w:val="en-US" w:eastAsia="zh-CN"/>
        </w:rPr>
        <w:t>（三）做好过程管理。</w:t>
      </w:r>
      <w:r>
        <w:rPr>
          <w:rFonts w:hint="default" w:ascii="Times New Roman" w:hAnsi="Times New Roman" w:eastAsia="仿宋_GB2312" w:cs="Times New Roman"/>
          <w:sz w:val="32"/>
          <w:szCs w:val="32"/>
          <w:highlight w:val="none"/>
        </w:rPr>
        <w:t>参与项目的粮油规模种植主体需按要求加强田间管理，落实集成技术，努力提高单产水平。各县要采取一主体一档案的方式建立生产档案（附件1），作物生产过程中应用的关键技术、采取的主要措施由规模主体提供收据、照片等相关佐证资料。县级农业农村部门适时完成生产档案的收集和整理，记录技术落实、要素投入、成效评估等内容。</w:t>
      </w:r>
      <w:r>
        <w:rPr>
          <w:rFonts w:hint="default" w:ascii="Times New Roman" w:hAnsi="Times New Roman" w:eastAsia="仿宋_GB2312" w:cs="Times New Roman"/>
          <w:color w:val="000000"/>
          <w:sz w:val="32"/>
          <w:szCs w:val="32"/>
          <w:highlight w:val="none"/>
        </w:rPr>
        <w:t>要因地制宜综合运用互联网、村务公开等渠道，及时公示项目拟奖补主体及资金情况，</w:t>
      </w:r>
      <w:r>
        <w:rPr>
          <w:rFonts w:hint="default" w:ascii="Times New Roman" w:hAnsi="Times New Roman" w:eastAsia="仿宋_GB2312" w:cs="Times New Roman"/>
          <w:sz w:val="32"/>
          <w:szCs w:val="32"/>
          <w:highlight w:val="none"/>
        </w:rPr>
        <w:t>公示期7天，接受社会监督，</w:t>
      </w:r>
      <w:r>
        <w:rPr>
          <w:rFonts w:hint="default" w:ascii="Times New Roman" w:hAnsi="Times New Roman" w:eastAsia="仿宋_GB2312" w:cs="Times New Roman"/>
          <w:color w:val="000000"/>
          <w:sz w:val="32"/>
          <w:szCs w:val="32"/>
          <w:highlight w:val="none"/>
        </w:rPr>
        <w:t>对反映有异议的要组织核实。公示无异议后，按程序及时兑付资金</w:t>
      </w:r>
      <w:r>
        <w:rPr>
          <w:rFonts w:hint="default" w:ascii="Times New Roman" w:hAnsi="Times New Roman" w:eastAsia="仿宋_GB2312" w:cs="Times New Roman"/>
          <w:sz w:val="32"/>
          <w:szCs w:val="32"/>
          <w:highlight w:val="none"/>
        </w:rPr>
        <w:t>。</w:t>
      </w:r>
    </w:p>
    <w:p w14:paraId="1BCE63F6">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sz w:val="32"/>
          <w:szCs w:val="32"/>
          <w:highlight w:val="none"/>
          <w:lang w:val="en-US" w:eastAsia="zh-CN"/>
        </w:rPr>
        <w:t>（四）做好测产总结。</w:t>
      </w:r>
      <w:r>
        <w:rPr>
          <w:rFonts w:hint="default" w:ascii="Times New Roman" w:hAnsi="Times New Roman" w:eastAsia="仿宋_GB2312" w:cs="Times New Roman"/>
          <w:sz w:val="32"/>
          <w:szCs w:val="32"/>
          <w:highlight w:val="none"/>
        </w:rPr>
        <w:t>作物收获季节，承担项目主体向县级农业农村部门如实上报实际单产，县级农业农村部门按照不低于</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%的比例就产量及技术落实情况对承担项目主体进行随机抽测复核，乡镇按照不低于</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0%的比例就技术落实情况对承担项目主体进行随机抽测复核。对上报测产结果明显偏离本县实际生产水平的要重点核实，情节严重的，取消享受奖补资格，防止主体虚报测产结果。</w:t>
      </w:r>
    </w:p>
    <w:p w14:paraId="751469D0">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各项目县农业农村部门要充分总结前两年项目经验，做好政策解读，结合今年</w:t>
      </w:r>
      <w:r>
        <w:rPr>
          <w:rFonts w:hint="default" w:ascii="Times New Roman" w:hAnsi="Times New Roman" w:eastAsia="仿宋_GB2312" w:cs="Times New Roman"/>
          <w:sz w:val="32"/>
          <w:szCs w:val="32"/>
          <w:highlight w:val="none"/>
          <w:lang w:val="en-US" w:eastAsia="zh-CN"/>
        </w:rPr>
        <w:t>高标准农田配建“水肥一体化”</w:t>
      </w:r>
      <w:r>
        <w:rPr>
          <w:rFonts w:hint="default" w:ascii="Times New Roman" w:hAnsi="Times New Roman" w:eastAsia="仿宋_GB2312" w:cs="Times New Roman"/>
          <w:sz w:val="32"/>
          <w:szCs w:val="32"/>
          <w:highlight w:val="none"/>
        </w:rPr>
        <w:t>工作方案，同步推进工作。各地要及时搭建由专家和农技推广人员组成的指导组，强化技术指导服务，营造良好氛围的同时，确保项目取得预期成果。各地要采取有效措施抓好项目过程管理，确保项目实施规范有序，测产结果真实可靠，奖补发放公开透明，按照项目管理要求做好项目进展月调度工作机制，每月15日前向省农业农村厅报送进展情况，并通过农业农村部转移支付项目管理平台及时填报实施进度和资金兑付有关情况，于202</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rPr>
        <w:t>年1</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月10日前将主要做法、取得成效、工作建议、下步计划等情况，形成工作总结报省农业农村厅。</w:t>
      </w:r>
    </w:p>
    <w:p w14:paraId="203ED756">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rPr>
      </w:pPr>
    </w:p>
    <w:p w14:paraId="3084FBE1">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附件：1.项目主体档案参考格式</w:t>
      </w:r>
    </w:p>
    <w:p w14:paraId="2E7F291B">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 xml:space="preserve">      2.粮油规模种植主体单产提升项目执行情况调度表</w:t>
      </w:r>
    </w:p>
    <w:p w14:paraId="753148DD">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outlineLvl w:val="1"/>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3.2025年中央农业经营主体能力提升资金（粮油规模种</w:t>
      </w:r>
    </w:p>
    <w:p w14:paraId="734A4688">
      <w:pPr>
        <w:pStyle w:val="16"/>
        <w:pBdr>
          <w:top w:val="none" w:color="000000" w:sz="0" w:space="0"/>
          <w:left w:val="none" w:color="000000" w:sz="0" w:space="0"/>
          <w:bottom w:val="none" w:color="000000" w:sz="0" w:space="29"/>
          <w:right w:val="none" w:color="000000" w:sz="0" w:space="10"/>
        </w:pBdr>
        <w:autoSpaceDN w:val="0"/>
        <w:spacing w:line="600" w:lineRule="exact"/>
        <w:ind w:firstLine="1600" w:firstLineChars="5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植主体单产提升）项目任务分配表</w:t>
      </w:r>
    </w:p>
    <w:p w14:paraId="4A8E2CFA">
      <w:pPr>
        <w:spacing w:line="60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 xml:space="preserve">联 系 人：省农业农村厅种植业管理处  </w:t>
      </w:r>
      <w:r>
        <w:rPr>
          <w:rFonts w:hint="default" w:ascii="Times New Roman" w:hAnsi="Times New Roman" w:eastAsia="仿宋_GB2312" w:cs="Times New Roman"/>
          <w:sz w:val="32"/>
          <w:szCs w:val="32"/>
          <w:highlight w:val="none"/>
          <w:lang w:val="en-US" w:eastAsia="zh-CN"/>
        </w:rPr>
        <w:t>王皓</w:t>
      </w:r>
    </w:p>
    <w:p w14:paraId="684A54D8">
      <w:pPr>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联系方式：0431-88910585</w:t>
      </w:r>
    </w:p>
    <w:p w14:paraId="5DD13F7E">
      <w:pPr>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电子邮箱：</w:t>
      </w:r>
      <w:r>
        <w:rPr>
          <w:rFonts w:hint="default" w:ascii="Times New Roman" w:hAnsi="Times New Roman" w:cs="Times New Roman"/>
          <w:highlight w:val="none"/>
        </w:rPr>
        <w:fldChar w:fldCharType="begin"/>
      </w:r>
      <w:r>
        <w:rPr>
          <w:rFonts w:hint="default" w:ascii="Times New Roman" w:hAnsi="Times New Roman" w:cs="Times New Roman"/>
          <w:highlight w:val="none"/>
        </w:rPr>
        <w:instrText xml:space="preserve"> HYPERLINK "mailto:zzyglc6429@163.com" </w:instrText>
      </w:r>
      <w:r>
        <w:rPr>
          <w:rFonts w:hint="default" w:ascii="Times New Roman" w:hAnsi="Times New Roman" w:cs="Times New Roman"/>
          <w:highlight w:val="none"/>
        </w:rPr>
        <w:fldChar w:fldCharType="separate"/>
      </w:r>
      <w:r>
        <w:rPr>
          <w:rFonts w:hint="default" w:ascii="Times New Roman" w:hAnsi="Times New Roman" w:eastAsia="仿宋_GB2312" w:cs="Times New Roman"/>
          <w:sz w:val="32"/>
          <w:szCs w:val="32"/>
          <w:highlight w:val="none"/>
        </w:rPr>
        <w:t>zzyglc6429@163.com</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br w:type="page"/>
      </w:r>
    </w:p>
    <w:p w14:paraId="4A6B6C3F">
      <w:pPr>
        <w:pStyle w:val="16"/>
        <w:pBdr>
          <w:top w:val="none" w:color="000000" w:sz="0" w:space="0"/>
          <w:left w:val="none" w:color="000000" w:sz="0" w:space="0"/>
          <w:bottom w:val="none" w:color="000000" w:sz="0" w:space="29"/>
          <w:right w:val="none" w:color="000000" w:sz="0" w:space="10"/>
        </w:pBdr>
        <w:autoSpaceDN w:val="0"/>
        <w:spacing w:line="600" w:lineRule="exact"/>
        <w:jc w:val="center"/>
        <w:rPr>
          <w:rFonts w:hint="default" w:ascii="Times New Roman" w:hAnsi="Times New Roman" w:eastAsia="方正小标宋简体" w:cs="Times New Roman"/>
          <w:sz w:val="44"/>
          <w:szCs w:val="44"/>
          <w:highlight w:val="none"/>
        </w:rPr>
        <w:sectPr>
          <w:footerReference r:id="rId3" w:type="default"/>
          <w:type w:val="continuous"/>
          <w:pgSz w:w="11906" w:h="16838"/>
          <w:pgMar w:top="1701" w:right="1417" w:bottom="1701" w:left="1417" w:header="851" w:footer="992" w:gutter="0"/>
          <w:cols w:space="0" w:num="1"/>
          <w:docGrid w:type="lines" w:linePitch="312" w:charSpace="0"/>
        </w:sectPr>
      </w:pPr>
    </w:p>
    <w:tbl>
      <w:tblPr>
        <w:tblStyle w:val="8"/>
        <w:tblW w:w="14310" w:type="dxa"/>
        <w:tblInd w:w="0" w:type="dxa"/>
        <w:tblLayout w:type="fixed"/>
        <w:tblCellMar>
          <w:top w:w="0" w:type="dxa"/>
          <w:left w:w="0" w:type="dxa"/>
          <w:bottom w:w="0" w:type="dxa"/>
          <w:right w:w="0" w:type="dxa"/>
        </w:tblCellMar>
      </w:tblPr>
      <w:tblGrid>
        <w:gridCol w:w="735"/>
        <w:gridCol w:w="1350"/>
        <w:gridCol w:w="1320"/>
        <w:gridCol w:w="1650"/>
        <w:gridCol w:w="2115"/>
        <w:gridCol w:w="1620"/>
        <w:gridCol w:w="1215"/>
        <w:gridCol w:w="1215"/>
        <w:gridCol w:w="1545"/>
        <w:gridCol w:w="1545"/>
      </w:tblGrid>
      <w:tr w14:paraId="65861C5E">
        <w:tblPrEx>
          <w:tblCellMar>
            <w:top w:w="0" w:type="dxa"/>
            <w:left w:w="0" w:type="dxa"/>
            <w:bottom w:w="0" w:type="dxa"/>
            <w:right w:w="0" w:type="dxa"/>
          </w:tblCellMar>
        </w:tblPrEx>
        <w:trPr>
          <w:trHeight w:val="405" w:hRule="atLeast"/>
        </w:trPr>
        <w:tc>
          <w:tcPr>
            <w:tcW w:w="14310" w:type="dxa"/>
            <w:gridSpan w:val="10"/>
            <w:tcBorders>
              <w:top w:val="nil"/>
              <w:left w:val="nil"/>
              <w:bottom w:val="nil"/>
              <w:right w:val="nil"/>
            </w:tcBorders>
            <w:shd w:val="clear" w:color="auto" w:fill="auto"/>
            <w:tcMar>
              <w:top w:w="15" w:type="dxa"/>
              <w:left w:w="15" w:type="dxa"/>
              <w:right w:w="15" w:type="dxa"/>
            </w:tcMar>
            <w:vAlign w:val="center"/>
          </w:tcPr>
          <w:p w14:paraId="0788E8D5">
            <w:pPr>
              <w:widowControl/>
              <w:jc w:val="left"/>
              <w:rPr>
                <w:rFonts w:hint="default" w:ascii="Times New Roman" w:hAnsi="Times New Roman" w:eastAsia="黑体" w:cs="Times New Roman"/>
                <w:color w:val="000000"/>
                <w:sz w:val="32"/>
                <w:szCs w:val="32"/>
                <w:highlight w:val="none"/>
              </w:rPr>
            </w:pPr>
            <w:r>
              <w:rPr>
                <w:rFonts w:hint="default" w:ascii="Times New Roman" w:hAnsi="Times New Roman" w:eastAsia="黑体" w:cs="Times New Roman"/>
                <w:color w:val="000000"/>
                <w:kern w:val="0"/>
                <w:sz w:val="32"/>
                <w:szCs w:val="32"/>
                <w:highlight w:val="none"/>
                <w:lang w:bidi="ar"/>
              </w:rPr>
              <w:t>附件1</w:t>
            </w:r>
          </w:p>
        </w:tc>
      </w:tr>
      <w:tr w14:paraId="746BD2D3">
        <w:tblPrEx>
          <w:tblCellMar>
            <w:top w:w="0" w:type="dxa"/>
            <w:left w:w="0" w:type="dxa"/>
            <w:bottom w:w="0" w:type="dxa"/>
            <w:right w:w="0" w:type="dxa"/>
          </w:tblCellMar>
        </w:tblPrEx>
        <w:trPr>
          <w:trHeight w:val="920" w:hRule="atLeast"/>
        </w:trPr>
        <w:tc>
          <w:tcPr>
            <w:tcW w:w="14310" w:type="dxa"/>
            <w:gridSpan w:val="10"/>
            <w:tcBorders>
              <w:top w:val="nil"/>
              <w:left w:val="nil"/>
              <w:bottom w:val="nil"/>
              <w:right w:val="nil"/>
            </w:tcBorders>
            <w:shd w:val="clear" w:color="auto" w:fill="auto"/>
            <w:tcMar>
              <w:top w:w="15" w:type="dxa"/>
              <w:left w:w="15" w:type="dxa"/>
              <w:right w:w="15" w:type="dxa"/>
            </w:tcMar>
            <w:vAlign w:val="center"/>
          </w:tcPr>
          <w:p w14:paraId="188E5B8A">
            <w:pPr>
              <w:widowControl/>
              <w:jc w:val="center"/>
              <w:rPr>
                <w:rFonts w:hint="default" w:ascii="Times New Roman" w:hAnsi="Times New Roman" w:eastAsia="方正小标宋简体" w:cs="Times New Roman"/>
                <w:b/>
                <w:color w:val="000000"/>
                <w:sz w:val="36"/>
                <w:szCs w:val="36"/>
                <w:highlight w:val="none"/>
              </w:rPr>
            </w:pPr>
            <w:r>
              <w:rPr>
                <w:rFonts w:hint="default" w:ascii="Times New Roman" w:hAnsi="Times New Roman" w:eastAsia="方正小标宋简体" w:cs="Times New Roman"/>
                <w:b/>
                <w:color w:val="000000"/>
                <w:kern w:val="0"/>
                <w:sz w:val="36"/>
                <w:szCs w:val="36"/>
                <w:highlight w:val="none"/>
                <w:lang w:bidi="ar"/>
              </w:rPr>
              <w:t>项目主体档案参考格式</w:t>
            </w:r>
          </w:p>
        </w:tc>
      </w:tr>
      <w:tr w14:paraId="513AA867">
        <w:tblPrEx>
          <w:tblCellMar>
            <w:top w:w="0" w:type="dxa"/>
            <w:left w:w="0" w:type="dxa"/>
            <w:bottom w:w="0" w:type="dxa"/>
            <w:right w:w="0" w:type="dxa"/>
          </w:tblCellMar>
        </w:tblPrEx>
        <w:trPr>
          <w:trHeight w:val="680" w:hRule="atLeast"/>
        </w:trPr>
        <w:tc>
          <w:tcPr>
            <w:tcW w:w="5055" w:type="dxa"/>
            <w:gridSpan w:val="4"/>
            <w:tcBorders>
              <w:top w:val="nil"/>
              <w:left w:val="nil"/>
              <w:bottom w:val="nil"/>
              <w:right w:val="nil"/>
            </w:tcBorders>
            <w:shd w:val="clear" w:color="auto" w:fill="auto"/>
            <w:tcMar>
              <w:top w:w="15" w:type="dxa"/>
              <w:left w:w="15" w:type="dxa"/>
              <w:right w:w="15" w:type="dxa"/>
            </w:tcMar>
            <w:vAlign w:val="center"/>
          </w:tcPr>
          <w:p w14:paraId="400E648C">
            <w:pPr>
              <w:widowControl/>
              <w:jc w:val="left"/>
              <w:rPr>
                <w:rFonts w:hint="default" w:ascii="Times New Roman" w:hAnsi="Times New Roman" w:cs="Times New Roman"/>
                <w:color w:val="000000"/>
                <w:sz w:val="28"/>
                <w:szCs w:val="28"/>
                <w:highlight w:val="none"/>
              </w:rPr>
            </w:pPr>
            <w:r>
              <w:rPr>
                <w:rFonts w:hint="default" w:ascii="Times New Roman" w:hAnsi="Times New Roman" w:cs="Times New Roman"/>
                <w:color w:val="000000"/>
                <w:sz w:val="28"/>
                <w:szCs w:val="28"/>
                <w:highlight w:val="none"/>
              </w:rPr>
              <w:t>填报单位：</w:t>
            </w:r>
          </w:p>
        </w:tc>
        <w:tc>
          <w:tcPr>
            <w:tcW w:w="4950" w:type="dxa"/>
            <w:gridSpan w:val="3"/>
            <w:tcBorders>
              <w:top w:val="nil"/>
              <w:left w:val="nil"/>
              <w:bottom w:val="nil"/>
              <w:right w:val="nil"/>
            </w:tcBorders>
            <w:shd w:val="clear" w:color="auto" w:fill="auto"/>
            <w:tcMar>
              <w:top w:w="15" w:type="dxa"/>
              <w:left w:w="15" w:type="dxa"/>
              <w:right w:w="15" w:type="dxa"/>
            </w:tcMar>
            <w:vAlign w:val="center"/>
          </w:tcPr>
          <w:p w14:paraId="38583D54">
            <w:pPr>
              <w:widowControl/>
              <w:jc w:val="left"/>
              <w:rPr>
                <w:rFonts w:hint="default" w:ascii="Times New Roman" w:hAnsi="Times New Roman" w:cs="Times New Roman"/>
                <w:color w:val="000000"/>
                <w:sz w:val="28"/>
                <w:szCs w:val="28"/>
                <w:highlight w:val="none"/>
              </w:rPr>
            </w:pPr>
          </w:p>
        </w:tc>
        <w:tc>
          <w:tcPr>
            <w:tcW w:w="4305" w:type="dxa"/>
            <w:gridSpan w:val="3"/>
            <w:tcBorders>
              <w:top w:val="nil"/>
              <w:left w:val="nil"/>
              <w:bottom w:val="nil"/>
              <w:right w:val="nil"/>
            </w:tcBorders>
            <w:shd w:val="clear" w:color="auto" w:fill="auto"/>
            <w:tcMar>
              <w:top w:w="15" w:type="dxa"/>
              <w:left w:w="15" w:type="dxa"/>
              <w:right w:w="15" w:type="dxa"/>
            </w:tcMar>
            <w:vAlign w:val="center"/>
          </w:tcPr>
          <w:p w14:paraId="4AAD0A19">
            <w:pPr>
              <w:widowControl/>
              <w:jc w:val="left"/>
              <w:rPr>
                <w:rFonts w:hint="default" w:ascii="Times New Roman" w:hAnsi="Times New Roman" w:cs="Times New Roman"/>
                <w:color w:val="000000"/>
                <w:sz w:val="28"/>
                <w:szCs w:val="28"/>
                <w:highlight w:val="none"/>
              </w:rPr>
            </w:pPr>
          </w:p>
        </w:tc>
      </w:tr>
      <w:tr w14:paraId="25C642F8">
        <w:tblPrEx>
          <w:tblCellMar>
            <w:top w:w="0" w:type="dxa"/>
            <w:left w:w="0" w:type="dxa"/>
            <w:bottom w:w="0" w:type="dxa"/>
            <w:right w:w="0" w:type="dxa"/>
          </w:tblCellMar>
        </w:tblPrEx>
        <w:trPr>
          <w:trHeight w:val="76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F806B">
            <w:pPr>
              <w:widowControl/>
              <w:jc w:val="center"/>
              <w:rPr>
                <w:rFonts w:hint="default" w:ascii="Times New Roman" w:hAnsi="Times New Roman" w:cs="Times New Roman"/>
                <w:b/>
                <w:color w:val="000000"/>
                <w:sz w:val="28"/>
                <w:szCs w:val="28"/>
                <w:highlight w:val="none"/>
              </w:rPr>
            </w:pPr>
            <w:r>
              <w:rPr>
                <w:rFonts w:hint="default" w:ascii="Times New Roman" w:hAnsi="Times New Roman" w:cs="Times New Roman"/>
                <w:b/>
                <w:color w:val="000000"/>
                <w:kern w:val="0"/>
                <w:sz w:val="28"/>
                <w:szCs w:val="28"/>
                <w:highlight w:val="none"/>
                <w:lang w:bidi="ar"/>
              </w:rPr>
              <w:t>序号</w:t>
            </w: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71E50">
            <w:pPr>
              <w:widowControl/>
              <w:jc w:val="center"/>
              <w:rPr>
                <w:rFonts w:hint="default" w:ascii="Times New Roman" w:hAnsi="Times New Roman" w:cs="Times New Roman"/>
                <w:b/>
                <w:color w:val="000000"/>
                <w:sz w:val="28"/>
                <w:szCs w:val="28"/>
                <w:highlight w:val="none"/>
              </w:rPr>
            </w:pPr>
            <w:r>
              <w:rPr>
                <w:rFonts w:hint="default" w:ascii="Times New Roman" w:hAnsi="Times New Roman" w:cs="Times New Roman"/>
                <w:b/>
                <w:color w:val="000000"/>
                <w:kern w:val="0"/>
                <w:sz w:val="28"/>
                <w:szCs w:val="28"/>
                <w:highlight w:val="none"/>
                <w:lang w:bidi="ar"/>
              </w:rPr>
              <w:t>县（市、区）</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3D563">
            <w:pPr>
              <w:widowControl/>
              <w:jc w:val="center"/>
              <w:rPr>
                <w:rFonts w:hint="default" w:ascii="Times New Roman" w:hAnsi="Times New Roman" w:cs="Times New Roman"/>
                <w:b/>
                <w:color w:val="000000"/>
                <w:sz w:val="28"/>
                <w:szCs w:val="28"/>
                <w:highlight w:val="none"/>
              </w:rPr>
            </w:pPr>
            <w:r>
              <w:rPr>
                <w:rFonts w:hint="default" w:ascii="Times New Roman" w:hAnsi="Times New Roman" w:cs="Times New Roman"/>
                <w:b/>
                <w:color w:val="000000"/>
                <w:kern w:val="0"/>
                <w:sz w:val="28"/>
                <w:szCs w:val="28"/>
                <w:highlight w:val="none"/>
                <w:lang w:bidi="ar"/>
              </w:rPr>
              <w:t>项目主体</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6880">
            <w:pPr>
              <w:widowControl/>
              <w:jc w:val="center"/>
              <w:rPr>
                <w:rFonts w:hint="default" w:ascii="Times New Roman" w:hAnsi="Times New Roman" w:cs="Times New Roman"/>
                <w:b/>
                <w:color w:val="000000"/>
                <w:sz w:val="28"/>
                <w:szCs w:val="28"/>
                <w:highlight w:val="none"/>
              </w:rPr>
            </w:pPr>
            <w:r>
              <w:rPr>
                <w:rFonts w:hint="default" w:ascii="Times New Roman" w:hAnsi="Times New Roman" w:cs="Times New Roman"/>
                <w:b/>
                <w:color w:val="000000"/>
                <w:kern w:val="0"/>
                <w:sz w:val="28"/>
                <w:szCs w:val="28"/>
                <w:highlight w:val="none"/>
                <w:lang w:bidi="ar"/>
              </w:rPr>
              <w:t>负责人姓名</w:t>
            </w:r>
          </w:p>
        </w:tc>
        <w:tc>
          <w:tcPr>
            <w:tcW w:w="21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8A7C1">
            <w:pPr>
              <w:widowControl/>
              <w:jc w:val="center"/>
              <w:rPr>
                <w:rFonts w:hint="default" w:ascii="Times New Roman" w:hAnsi="Times New Roman" w:cs="Times New Roman"/>
                <w:b/>
                <w:color w:val="000000"/>
                <w:sz w:val="28"/>
                <w:szCs w:val="28"/>
                <w:highlight w:val="none"/>
              </w:rPr>
            </w:pPr>
            <w:r>
              <w:rPr>
                <w:rFonts w:hint="default" w:ascii="Times New Roman" w:hAnsi="Times New Roman" w:cs="Times New Roman"/>
                <w:b/>
                <w:color w:val="000000"/>
                <w:kern w:val="0"/>
                <w:sz w:val="28"/>
                <w:szCs w:val="28"/>
                <w:highlight w:val="none"/>
                <w:lang w:bidi="ar"/>
              </w:rPr>
              <w:t>身份证号码/</w:t>
            </w:r>
            <w:r>
              <w:rPr>
                <w:rFonts w:hint="default" w:ascii="Times New Roman" w:hAnsi="Times New Roman" w:cs="Times New Roman"/>
                <w:b/>
                <w:color w:val="000000"/>
                <w:kern w:val="0"/>
                <w:sz w:val="28"/>
                <w:szCs w:val="28"/>
                <w:highlight w:val="none"/>
                <w:lang w:bidi="ar"/>
              </w:rPr>
              <w:br w:type="textWrapping"/>
            </w:r>
            <w:r>
              <w:rPr>
                <w:rFonts w:hint="default" w:ascii="Times New Roman" w:hAnsi="Times New Roman" w:cs="Times New Roman"/>
                <w:b/>
                <w:color w:val="000000"/>
                <w:kern w:val="0"/>
                <w:sz w:val="28"/>
                <w:szCs w:val="28"/>
                <w:highlight w:val="none"/>
                <w:lang w:bidi="ar"/>
              </w:rPr>
              <w:t>社会信用代码</w:t>
            </w: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77247">
            <w:pPr>
              <w:widowControl/>
              <w:jc w:val="center"/>
              <w:rPr>
                <w:rFonts w:hint="default" w:ascii="Times New Roman" w:hAnsi="Times New Roman" w:cs="Times New Roman"/>
                <w:b/>
                <w:color w:val="000000"/>
                <w:sz w:val="28"/>
                <w:szCs w:val="28"/>
                <w:highlight w:val="none"/>
              </w:rPr>
            </w:pPr>
            <w:r>
              <w:rPr>
                <w:rFonts w:hint="default" w:ascii="Times New Roman" w:hAnsi="Times New Roman" w:cs="Times New Roman"/>
                <w:b/>
                <w:color w:val="000000"/>
                <w:kern w:val="0"/>
                <w:sz w:val="28"/>
                <w:szCs w:val="28"/>
                <w:highlight w:val="none"/>
                <w:lang w:bidi="ar"/>
              </w:rPr>
              <w:t>联系方式</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D75D5">
            <w:pPr>
              <w:widowControl/>
              <w:jc w:val="center"/>
              <w:rPr>
                <w:rFonts w:hint="default" w:ascii="Times New Roman" w:hAnsi="Times New Roman" w:cs="Times New Roman"/>
                <w:b/>
                <w:color w:val="000000"/>
                <w:sz w:val="28"/>
                <w:szCs w:val="28"/>
                <w:highlight w:val="none"/>
              </w:rPr>
            </w:pPr>
            <w:r>
              <w:rPr>
                <w:rFonts w:hint="default" w:ascii="Times New Roman" w:hAnsi="Times New Roman" w:cs="Times New Roman"/>
                <w:b/>
                <w:color w:val="000000"/>
                <w:kern w:val="0"/>
                <w:sz w:val="28"/>
                <w:szCs w:val="28"/>
                <w:highlight w:val="none"/>
                <w:lang w:bidi="ar"/>
              </w:rPr>
              <w:t>作物</w:t>
            </w:r>
            <w:r>
              <w:rPr>
                <w:rFonts w:hint="default" w:ascii="Times New Roman" w:hAnsi="Times New Roman" w:cs="Times New Roman"/>
                <w:b/>
                <w:color w:val="000000"/>
                <w:kern w:val="0"/>
                <w:sz w:val="28"/>
                <w:szCs w:val="28"/>
                <w:highlight w:val="none"/>
                <w:lang w:bidi="ar"/>
              </w:rPr>
              <w:br w:type="textWrapping"/>
            </w:r>
            <w:r>
              <w:rPr>
                <w:rFonts w:hint="default" w:ascii="Times New Roman" w:hAnsi="Times New Roman" w:cs="Times New Roman"/>
                <w:b/>
                <w:color w:val="000000"/>
                <w:kern w:val="0"/>
                <w:sz w:val="28"/>
                <w:szCs w:val="28"/>
                <w:highlight w:val="none"/>
                <w:lang w:bidi="ar"/>
              </w:rPr>
              <w:t>品种</w:t>
            </w: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BD12DD">
            <w:pPr>
              <w:widowControl/>
              <w:jc w:val="center"/>
              <w:rPr>
                <w:rFonts w:hint="default" w:ascii="Times New Roman" w:hAnsi="Times New Roman" w:cs="Times New Roman"/>
                <w:b/>
                <w:color w:val="000000"/>
                <w:sz w:val="28"/>
                <w:szCs w:val="28"/>
                <w:highlight w:val="none"/>
              </w:rPr>
            </w:pPr>
            <w:r>
              <w:rPr>
                <w:rFonts w:hint="default" w:ascii="Times New Roman" w:hAnsi="Times New Roman" w:cs="Times New Roman"/>
                <w:b/>
                <w:color w:val="000000"/>
                <w:kern w:val="0"/>
                <w:sz w:val="28"/>
                <w:szCs w:val="28"/>
                <w:highlight w:val="none"/>
                <w:lang w:bidi="ar"/>
              </w:rPr>
              <w:t>落实技术面积（亩）</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21E9A">
            <w:pPr>
              <w:widowControl/>
              <w:jc w:val="center"/>
              <w:rPr>
                <w:rFonts w:hint="default" w:ascii="Times New Roman" w:hAnsi="Times New Roman" w:cs="Times New Roman"/>
                <w:b/>
                <w:color w:val="000000"/>
                <w:sz w:val="28"/>
                <w:szCs w:val="28"/>
                <w:highlight w:val="none"/>
              </w:rPr>
            </w:pPr>
            <w:r>
              <w:rPr>
                <w:rFonts w:hint="default" w:ascii="Times New Roman" w:hAnsi="Times New Roman" w:cs="Times New Roman"/>
                <w:b/>
                <w:color w:val="000000"/>
                <w:kern w:val="0"/>
                <w:sz w:val="28"/>
                <w:szCs w:val="28"/>
                <w:highlight w:val="none"/>
                <w:lang w:bidi="ar"/>
              </w:rPr>
              <w:t>落实的关键</w:t>
            </w:r>
            <w:r>
              <w:rPr>
                <w:rFonts w:hint="default" w:ascii="Times New Roman" w:hAnsi="Times New Roman" w:cs="Times New Roman"/>
                <w:b/>
                <w:color w:val="000000"/>
                <w:kern w:val="0"/>
                <w:sz w:val="28"/>
                <w:szCs w:val="28"/>
                <w:highlight w:val="none"/>
                <w:lang w:bidi="ar"/>
              </w:rPr>
              <w:br w:type="textWrapping"/>
            </w:r>
            <w:r>
              <w:rPr>
                <w:rFonts w:hint="default" w:ascii="Times New Roman" w:hAnsi="Times New Roman" w:cs="Times New Roman"/>
                <w:b/>
                <w:color w:val="000000"/>
                <w:kern w:val="0"/>
                <w:sz w:val="28"/>
                <w:szCs w:val="28"/>
                <w:highlight w:val="none"/>
                <w:lang w:bidi="ar"/>
              </w:rPr>
              <w:t>技术措施</w:t>
            </w: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BE461">
            <w:pPr>
              <w:widowControl/>
              <w:jc w:val="center"/>
              <w:rPr>
                <w:rFonts w:hint="default" w:ascii="Times New Roman" w:hAnsi="Times New Roman" w:cs="Times New Roman"/>
                <w:b/>
                <w:color w:val="000000"/>
                <w:sz w:val="28"/>
                <w:szCs w:val="28"/>
                <w:highlight w:val="none"/>
              </w:rPr>
            </w:pPr>
            <w:r>
              <w:rPr>
                <w:rFonts w:hint="default" w:ascii="Times New Roman" w:hAnsi="Times New Roman" w:cs="Times New Roman"/>
                <w:b/>
                <w:color w:val="000000"/>
                <w:kern w:val="0"/>
                <w:sz w:val="28"/>
                <w:szCs w:val="28"/>
                <w:highlight w:val="none"/>
                <w:lang w:bidi="ar"/>
              </w:rPr>
              <w:t>亩产水平（斤）</w:t>
            </w:r>
          </w:p>
        </w:tc>
      </w:tr>
      <w:tr w14:paraId="61173903">
        <w:tblPrEx>
          <w:tblCellMar>
            <w:top w:w="0" w:type="dxa"/>
            <w:left w:w="0" w:type="dxa"/>
            <w:bottom w:w="0" w:type="dxa"/>
            <w:right w:w="0" w:type="dxa"/>
          </w:tblCellMar>
        </w:tblPrEx>
        <w:trPr>
          <w:trHeight w:val="9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AD485B">
            <w:pPr>
              <w:jc w:val="center"/>
              <w:rPr>
                <w:rFonts w:hint="default" w:ascii="Times New Roman" w:hAnsi="Times New Roman" w:cs="Times New Roman"/>
                <w:color w:val="000000"/>
                <w:sz w:val="24"/>
                <w:highlight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90BE6">
            <w:pPr>
              <w:jc w:val="center"/>
              <w:rPr>
                <w:rFonts w:hint="default" w:ascii="Times New Roman" w:hAnsi="Times New Roman" w:cs="Times New Roman"/>
                <w:color w:val="000000"/>
                <w:sz w:val="24"/>
                <w:highlight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53106">
            <w:pPr>
              <w:jc w:val="center"/>
              <w:rPr>
                <w:rFonts w:hint="default" w:ascii="Times New Roman" w:hAnsi="Times New Roman" w:cs="Times New Roman"/>
                <w:color w:val="000000"/>
                <w:sz w:val="24"/>
                <w:highlight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3E34B">
            <w:pPr>
              <w:jc w:val="center"/>
              <w:rPr>
                <w:rFonts w:hint="default" w:ascii="Times New Roman" w:hAnsi="Times New Roman" w:cs="Times New Roman"/>
                <w:color w:val="000000"/>
                <w:sz w:val="24"/>
                <w:highlight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96581">
            <w:pPr>
              <w:jc w:val="center"/>
              <w:rPr>
                <w:rFonts w:hint="default" w:ascii="Times New Roman" w:hAnsi="Times New Roman" w:cs="Times New Roman"/>
                <w:color w:val="000000"/>
                <w:sz w:val="24"/>
                <w:highlight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6D76EA">
            <w:pPr>
              <w:jc w:val="center"/>
              <w:rPr>
                <w:rFonts w:hint="default" w:ascii="Times New Roman" w:hAnsi="Times New Roman" w:cs="Times New Roman"/>
                <w:color w:val="000000"/>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2585E1">
            <w:pPr>
              <w:jc w:val="center"/>
              <w:rPr>
                <w:rFonts w:hint="default" w:ascii="Times New Roman" w:hAnsi="Times New Roman" w:cs="Times New Roman"/>
                <w:color w:val="000000"/>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75ECA">
            <w:pPr>
              <w:jc w:val="center"/>
              <w:rPr>
                <w:rFonts w:hint="default" w:ascii="Times New Roman" w:hAnsi="Times New Roman" w:cs="Times New Roman"/>
                <w:color w:val="000000"/>
                <w:sz w:val="24"/>
                <w:highlight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B044C2">
            <w:pPr>
              <w:jc w:val="center"/>
              <w:rPr>
                <w:rFonts w:hint="default" w:ascii="Times New Roman" w:hAnsi="Times New Roman" w:cs="Times New Roman"/>
                <w:color w:val="000000"/>
                <w:sz w:val="24"/>
                <w:highlight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6C366">
            <w:pPr>
              <w:jc w:val="center"/>
              <w:rPr>
                <w:rFonts w:hint="default" w:ascii="Times New Roman" w:hAnsi="Times New Roman" w:cs="Times New Roman"/>
                <w:color w:val="000000"/>
                <w:sz w:val="24"/>
                <w:highlight w:val="none"/>
              </w:rPr>
            </w:pPr>
          </w:p>
        </w:tc>
      </w:tr>
      <w:tr w14:paraId="08EED2BE">
        <w:tblPrEx>
          <w:tblCellMar>
            <w:top w:w="0" w:type="dxa"/>
            <w:left w:w="0" w:type="dxa"/>
            <w:bottom w:w="0" w:type="dxa"/>
            <w:right w:w="0" w:type="dxa"/>
          </w:tblCellMar>
        </w:tblPrEx>
        <w:trPr>
          <w:trHeight w:val="9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85F92">
            <w:pPr>
              <w:jc w:val="center"/>
              <w:rPr>
                <w:rFonts w:hint="default" w:ascii="Times New Roman" w:hAnsi="Times New Roman" w:cs="Times New Roman"/>
                <w:color w:val="000000"/>
                <w:sz w:val="24"/>
                <w:highlight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5446DF">
            <w:pPr>
              <w:jc w:val="center"/>
              <w:rPr>
                <w:rFonts w:hint="default" w:ascii="Times New Roman" w:hAnsi="Times New Roman" w:cs="Times New Roman"/>
                <w:color w:val="000000"/>
                <w:sz w:val="24"/>
                <w:highlight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29396">
            <w:pPr>
              <w:jc w:val="center"/>
              <w:rPr>
                <w:rFonts w:hint="default" w:ascii="Times New Roman" w:hAnsi="Times New Roman" w:cs="Times New Roman"/>
                <w:color w:val="000000"/>
                <w:sz w:val="24"/>
                <w:highlight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0DC5C">
            <w:pPr>
              <w:jc w:val="center"/>
              <w:rPr>
                <w:rFonts w:hint="default" w:ascii="Times New Roman" w:hAnsi="Times New Roman" w:cs="Times New Roman"/>
                <w:color w:val="000000"/>
                <w:sz w:val="24"/>
                <w:highlight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AA17C">
            <w:pPr>
              <w:jc w:val="center"/>
              <w:rPr>
                <w:rFonts w:hint="default" w:ascii="Times New Roman" w:hAnsi="Times New Roman" w:cs="Times New Roman"/>
                <w:color w:val="000000"/>
                <w:sz w:val="24"/>
                <w:highlight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A84AA">
            <w:pPr>
              <w:jc w:val="center"/>
              <w:rPr>
                <w:rFonts w:hint="default" w:ascii="Times New Roman" w:hAnsi="Times New Roman" w:cs="Times New Roman"/>
                <w:color w:val="000000"/>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F4B48E">
            <w:pPr>
              <w:jc w:val="center"/>
              <w:rPr>
                <w:rFonts w:hint="default" w:ascii="Times New Roman" w:hAnsi="Times New Roman" w:cs="Times New Roman"/>
                <w:color w:val="000000"/>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DD2A7D">
            <w:pPr>
              <w:jc w:val="center"/>
              <w:rPr>
                <w:rFonts w:hint="default" w:ascii="Times New Roman" w:hAnsi="Times New Roman" w:cs="Times New Roman"/>
                <w:color w:val="000000"/>
                <w:sz w:val="24"/>
                <w:highlight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8B7115">
            <w:pPr>
              <w:jc w:val="center"/>
              <w:rPr>
                <w:rFonts w:hint="default" w:ascii="Times New Roman" w:hAnsi="Times New Roman" w:cs="Times New Roman"/>
                <w:color w:val="000000"/>
                <w:sz w:val="24"/>
                <w:highlight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1475C1">
            <w:pPr>
              <w:jc w:val="center"/>
              <w:rPr>
                <w:rFonts w:hint="default" w:ascii="Times New Roman" w:hAnsi="Times New Roman" w:cs="Times New Roman"/>
                <w:color w:val="000000"/>
                <w:sz w:val="24"/>
                <w:highlight w:val="none"/>
              </w:rPr>
            </w:pPr>
          </w:p>
        </w:tc>
      </w:tr>
      <w:tr w14:paraId="67F08DE6">
        <w:tblPrEx>
          <w:tblCellMar>
            <w:top w:w="0" w:type="dxa"/>
            <w:left w:w="0" w:type="dxa"/>
            <w:bottom w:w="0" w:type="dxa"/>
            <w:right w:w="0" w:type="dxa"/>
          </w:tblCellMar>
        </w:tblPrEx>
        <w:trPr>
          <w:trHeight w:val="900" w:hRule="atLeast"/>
        </w:trPr>
        <w:tc>
          <w:tcPr>
            <w:tcW w:w="7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F462BC">
            <w:pPr>
              <w:jc w:val="center"/>
              <w:rPr>
                <w:rFonts w:hint="default" w:ascii="Times New Roman" w:hAnsi="Times New Roman" w:cs="Times New Roman"/>
                <w:color w:val="000000"/>
                <w:sz w:val="24"/>
                <w:highlight w:val="none"/>
              </w:rPr>
            </w:pPr>
          </w:p>
        </w:tc>
        <w:tc>
          <w:tcPr>
            <w:tcW w:w="13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54085">
            <w:pPr>
              <w:jc w:val="center"/>
              <w:rPr>
                <w:rFonts w:hint="default" w:ascii="Times New Roman" w:hAnsi="Times New Roman" w:cs="Times New Roman"/>
                <w:color w:val="000000"/>
                <w:sz w:val="24"/>
                <w:highlight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43D8A">
            <w:pPr>
              <w:jc w:val="center"/>
              <w:rPr>
                <w:rFonts w:hint="default" w:ascii="Times New Roman" w:hAnsi="Times New Roman" w:cs="Times New Roman"/>
                <w:color w:val="000000"/>
                <w:sz w:val="24"/>
                <w:highlight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3D0CF">
            <w:pPr>
              <w:jc w:val="center"/>
              <w:rPr>
                <w:rFonts w:hint="default" w:ascii="Times New Roman" w:hAnsi="Times New Roman" w:cs="Times New Roman"/>
                <w:color w:val="000000"/>
                <w:sz w:val="24"/>
                <w:highlight w:val="none"/>
              </w:rPr>
            </w:pPr>
          </w:p>
        </w:tc>
        <w:tc>
          <w:tcPr>
            <w:tcW w:w="21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FC68F">
            <w:pPr>
              <w:jc w:val="center"/>
              <w:rPr>
                <w:rFonts w:hint="default" w:ascii="Times New Roman" w:hAnsi="Times New Roman" w:cs="Times New Roman"/>
                <w:color w:val="000000"/>
                <w:sz w:val="24"/>
                <w:highlight w:val="none"/>
              </w:rPr>
            </w:pPr>
          </w:p>
        </w:tc>
        <w:tc>
          <w:tcPr>
            <w:tcW w:w="16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3C86F3">
            <w:pPr>
              <w:jc w:val="center"/>
              <w:rPr>
                <w:rFonts w:hint="default" w:ascii="Times New Roman" w:hAnsi="Times New Roman" w:cs="Times New Roman"/>
                <w:color w:val="000000"/>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97A9D">
            <w:pPr>
              <w:jc w:val="center"/>
              <w:rPr>
                <w:rFonts w:hint="default" w:ascii="Times New Roman" w:hAnsi="Times New Roman" w:cs="Times New Roman"/>
                <w:color w:val="000000"/>
                <w:sz w:val="24"/>
                <w:highlight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04669">
            <w:pPr>
              <w:jc w:val="center"/>
              <w:rPr>
                <w:rFonts w:hint="default" w:ascii="Times New Roman" w:hAnsi="Times New Roman" w:cs="Times New Roman"/>
                <w:color w:val="000000"/>
                <w:sz w:val="24"/>
                <w:highlight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CCE55">
            <w:pPr>
              <w:jc w:val="center"/>
              <w:rPr>
                <w:rFonts w:hint="default" w:ascii="Times New Roman" w:hAnsi="Times New Roman" w:cs="Times New Roman"/>
                <w:color w:val="000000"/>
                <w:sz w:val="24"/>
                <w:highlight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F2E40D">
            <w:pPr>
              <w:jc w:val="center"/>
              <w:rPr>
                <w:rFonts w:hint="default" w:ascii="Times New Roman" w:hAnsi="Times New Roman" w:cs="Times New Roman"/>
                <w:color w:val="000000"/>
                <w:sz w:val="24"/>
                <w:highlight w:val="none"/>
              </w:rPr>
            </w:pPr>
          </w:p>
        </w:tc>
      </w:tr>
    </w:tbl>
    <w:p w14:paraId="786BB676">
      <w:pPr>
        <w:pStyle w:val="16"/>
        <w:pBdr>
          <w:top w:val="none" w:color="000000" w:sz="0" w:space="0"/>
          <w:left w:val="none" w:color="000000" w:sz="0" w:space="0"/>
          <w:bottom w:val="none" w:color="000000" w:sz="0" w:space="29"/>
          <w:right w:val="none" w:color="000000" w:sz="0" w:space="10"/>
        </w:pBdr>
        <w:autoSpaceDN w:val="0"/>
        <w:spacing w:line="600" w:lineRule="exact"/>
        <w:ind w:firstLine="640" w:firstLineChars="200"/>
        <w:rPr>
          <w:rFonts w:hint="default" w:ascii="Times New Roman" w:hAnsi="Times New Roman" w:eastAsia="仿宋_GB2312" w:cs="Times New Roman"/>
          <w:sz w:val="32"/>
          <w:szCs w:val="32"/>
          <w:highlight w:val="none"/>
        </w:rPr>
        <w:sectPr>
          <w:type w:val="continuous"/>
          <w:pgSz w:w="16838" w:h="11906" w:orient="landscape"/>
          <w:pgMar w:top="1417" w:right="1701" w:bottom="1417" w:left="1701" w:header="851" w:footer="992" w:gutter="0"/>
          <w:cols w:space="0" w:num="1"/>
          <w:docGrid w:type="lines" w:linePitch="312" w:charSpace="0"/>
        </w:sectPr>
      </w:pPr>
      <w:r>
        <w:rPr>
          <w:rFonts w:hint="default" w:ascii="Times New Roman" w:hAnsi="Times New Roman" w:eastAsia="仿宋_GB2312" w:cs="Times New Roman"/>
          <w:sz w:val="32"/>
          <w:szCs w:val="32"/>
          <w:highlight w:val="none"/>
        </w:rPr>
        <w:t>填报人：                                                 联系电话：</w:t>
      </w:r>
    </w:p>
    <w:p w14:paraId="5A6DFBE9">
      <w:pPr>
        <w:widowControl/>
        <w:spacing w:line="600" w:lineRule="exact"/>
        <w:rPr>
          <w:rFonts w:hint="default" w:ascii="Times New Roman" w:hAnsi="Times New Roman" w:eastAsia="黑体" w:cs="Times New Roman"/>
          <w:color w:val="000000"/>
          <w:kern w:val="0"/>
          <w:sz w:val="32"/>
          <w:szCs w:val="32"/>
          <w:highlight w:val="none"/>
          <w:lang w:bidi="ar"/>
        </w:rPr>
      </w:pPr>
      <w:r>
        <w:rPr>
          <w:rFonts w:hint="default" w:ascii="Times New Roman" w:hAnsi="Times New Roman" w:eastAsia="黑体" w:cs="Times New Roman"/>
          <w:color w:val="000000"/>
          <w:kern w:val="0"/>
          <w:sz w:val="32"/>
          <w:szCs w:val="32"/>
          <w:highlight w:val="none"/>
          <w:lang w:bidi="ar"/>
        </w:rPr>
        <w:t>附件2</w:t>
      </w:r>
    </w:p>
    <w:p w14:paraId="3F6A502F">
      <w:pPr>
        <w:widowControl/>
        <w:kinsoku w:val="0"/>
        <w:autoSpaceDE w:val="0"/>
        <w:autoSpaceDN w:val="0"/>
        <w:adjustRightInd w:val="0"/>
        <w:snapToGrid w:val="0"/>
        <w:spacing w:before="312" w:beforeLines="100" w:line="600" w:lineRule="exact"/>
        <w:jc w:val="center"/>
        <w:outlineLvl w:val="0"/>
        <w:rPr>
          <w:rFonts w:hint="default" w:ascii="Times New Roman" w:hAnsi="Times New Roman" w:eastAsia="方正小标宋简体" w:cs="Times New Roman"/>
          <w:color w:val="000000"/>
          <w:kern w:val="0"/>
          <w:sz w:val="44"/>
          <w:szCs w:val="44"/>
          <w:highlight w:val="none"/>
          <w:lang w:bidi="ar"/>
        </w:rPr>
      </w:pPr>
      <w:r>
        <w:rPr>
          <w:rFonts w:hint="default" w:ascii="Times New Roman" w:hAnsi="Times New Roman" w:eastAsia="方正小标宋简体" w:cs="Times New Roman"/>
          <w:color w:val="000000"/>
          <w:kern w:val="0"/>
          <w:sz w:val="44"/>
          <w:szCs w:val="44"/>
          <w:highlight w:val="none"/>
          <w:lang w:bidi="ar"/>
        </w:rPr>
        <w:t>粮油规模种植主体单产提升</w:t>
      </w:r>
    </w:p>
    <w:p w14:paraId="33D13CCF">
      <w:pPr>
        <w:widowControl/>
        <w:kinsoku w:val="0"/>
        <w:autoSpaceDE w:val="0"/>
        <w:autoSpaceDN w:val="0"/>
        <w:adjustRightInd w:val="0"/>
        <w:snapToGrid w:val="0"/>
        <w:spacing w:after="312" w:afterLines="100" w:line="600" w:lineRule="exact"/>
        <w:jc w:val="center"/>
        <w:outlineLvl w:val="0"/>
        <w:rPr>
          <w:rFonts w:hint="default" w:ascii="Times New Roman" w:hAnsi="Times New Roman" w:eastAsia="方正小标宋简体" w:cs="Times New Roman"/>
          <w:color w:val="000000"/>
          <w:kern w:val="0"/>
          <w:sz w:val="44"/>
          <w:szCs w:val="44"/>
          <w:highlight w:val="none"/>
          <w:lang w:bidi="ar"/>
        </w:rPr>
      </w:pPr>
      <w:r>
        <w:rPr>
          <w:rFonts w:hint="default" w:ascii="Times New Roman" w:hAnsi="Times New Roman" w:eastAsia="方正小标宋简体" w:cs="Times New Roman"/>
          <w:color w:val="000000"/>
          <w:kern w:val="0"/>
          <w:sz w:val="44"/>
          <w:szCs w:val="44"/>
          <w:highlight w:val="none"/>
          <w:lang w:bidi="ar"/>
        </w:rPr>
        <w:t>项目执行情况调度表</w:t>
      </w:r>
    </w:p>
    <w:tbl>
      <w:tblPr>
        <w:tblStyle w:val="8"/>
        <w:tblW w:w="8914" w:type="dxa"/>
        <w:jc w:val="center"/>
        <w:tblLayout w:type="fixed"/>
        <w:tblCellMar>
          <w:top w:w="0" w:type="dxa"/>
          <w:left w:w="108" w:type="dxa"/>
          <w:bottom w:w="0" w:type="dxa"/>
          <w:right w:w="108" w:type="dxa"/>
        </w:tblCellMar>
      </w:tblPr>
      <w:tblGrid>
        <w:gridCol w:w="2222"/>
        <w:gridCol w:w="2970"/>
        <w:gridCol w:w="1875"/>
        <w:gridCol w:w="1847"/>
      </w:tblGrid>
      <w:tr w14:paraId="15F598E0">
        <w:tblPrEx>
          <w:tblCellMar>
            <w:top w:w="0" w:type="dxa"/>
            <w:left w:w="108" w:type="dxa"/>
            <w:bottom w:w="0" w:type="dxa"/>
            <w:right w:w="108" w:type="dxa"/>
          </w:tblCellMar>
        </w:tblPrEx>
        <w:trPr>
          <w:trHeight w:val="635" w:hRule="atLeast"/>
          <w:jc w:val="center"/>
        </w:trPr>
        <w:tc>
          <w:tcPr>
            <w:tcW w:w="519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4FF77A">
            <w:pPr>
              <w:widowControl/>
              <w:jc w:val="center"/>
              <w:rPr>
                <w:rFonts w:hint="default" w:ascii="Times New Roman" w:hAnsi="Times New Roman" w:eastAsia="仿宋_GB2312" w:cs="Times New Roman"/>
                <w:b/>
                <w:bCs/>
                <w:color w:val="000000"/>
                <w:sz w:val="24"/>
                <w:highlight w:val="none"/>
              </w:rPr>
            </w:pPr>
            <w:r>
              <w:rPr>
                <w:rFonts w:hint="default" w:ascii="Times New Roman" w:hAnsi="Times New Roman" w:eastAsia="仿宋_GB2312" w:cs="Times New Roman"/>
                <w:b/>
                <w:bCs/>
                <w:color w:val="000000"/>
                <w:kern w:val="0"/>
                <w:sz w:val="24"/>
                <w:highlight w:val="none"/>
                <w:lang w:bidi="ar"/>
              </w:rPr>
              <w:t>县（市、区）</w:t>
            </w:r>
          </w:p>
        </w:tc>
        <w:tc>
          <w:tcPr>
            <w:tcW w:w="3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1B54BB">
            <w:pPr>
              <w:widowControl/>
              <w:jc w:val="center"/>
              <w:rPr>
                <w:rFonts w:hint="default" w:ascii="Times New Roman" w:hAnsi="Times New Roman" w:cs="Times New Roman"/>
                <w:b/>
                <w:bCs/>
                <w:color w:val="000000"/>
                <w:sz w:val="24"/>
                <w:highlight w:val="none"/>
              </w:rPr>
            </w:pPr>
          </w:p>
        </w:tc>
      </w:tr>
      <w:tr w14:paraId="5DBB549E">
        <w:tblPrEx>
          <w:tblCellMar>
            <w:top w:w="0" w:type="dxa"/>
            <w:left w:w="108" w:type="dxa"/>
            <w:bottom w:w="0" w:type="dxa"/>
            <w:right w:w="108" w:type="dxa"/>
          </w:tblCellMar>
        </w:tblPrEx>
        <w:trPr>
          <w:trHeight w:val="621" w:hRule="atLeast"/>
          <w:jc w:val="center"/>
        </w:trPr>
        <w:tc>
          <w:tcPr>
            <w:tcW w:w="2222" w:type="dxa"/>
            <w:vMerge w:val="restart"/>
            <w:tcBorders>
              <w:top w:val="single" w:color="000000" w:sz="4" w:space="0"/>
              <w:left w:val="single" w:color="000000" w:sz="4" w:space="0"/>
              <w:right w:val="single" w:color="000000" w:sz="4" w:space="0"/>
            </w:tcBorders>
            <w:shd w:val="clear" w:color="auto" w:fill="auto"/>
            <w:vAlign w:val="center"/>
          </w:tcPr>
          <w:p w14:paraId="531F22A8">
            <w:pPr>
              <w:jc w:val="center"/>
              <w:rPr>
                <w:rFonts w:hint="default" w:ascii="Times New Roman" w:hAnsi="Times New Roman" w:eastAsia="仿宋_GB2312" w:cs="Times New Roman"/>
                <w:color w:val="000000"/>
                <w:sz w:val="24"/>
                <w:highlight w:val="none"/>
              </w:rPr>
            </w:pPr>
            <w:r>
              <w:rPr>
                <w:rFonts w:hint="default" w:ascii="Times New Roman" w:hAnsi="Times New Roman" w:eastAsia="仿宋_GB2312" w:cs="Times New Roman"/>
                <w:color w:val="000000"/>
                <w:kern w:val="0"/>
                <w:sz w:val="22"/>
                <w:szCs w:val="22"/>
                <w:highlight w:val="none"/>
                <w:lang w:bidi="ar"/>
              </w:rPr>
              <w:t>项目落实情况</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FEEF0">
            <w:pPr>
              <w:widowControl/>
              <w:jc w:val="center"/>
              <w:rPr>
                <w:rFonts w:hint="default" w:ascii="Times New Roman" w:hAnsi="Times New Roman" w:eastAsia="仿宋_GB2312" w:cs="Times New Roman"/>
                <w:color w:val="000000"/>
                <w:sz w:val="24"/>
                <w:highlight w:val="none"/>
              </w:rPr>
            </w:pPr>
            <w:r>
              <w:rPr>
                <w:rFonts w:hint="default" w:ascii="Times New Roman" w:hAnsi="Times New Roman" w:eastAsia="仿宋_GB2312" w:cs="Times New Roman"/>
                <w:color w:val="000000"/>
                <w:kern w:val="0"/>
                <w:sz w:val="24"/>
                <w:highlight w:val="none"/>
                <w:lang w:bidi="ar"/>
              </w:rPr>
              <w:t>是否已制定实施方案</w:t>
            </w:r>
          </w:p>
        </w:tc>
        <w:tc>
          <w:tcPr>
            <w:tcW w:w="3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6895E3">
            <w:pPr>
              <w:widowControl/>
              <w:jc w:val="center"/>
              <w:rPr>
                <w:rFonts w:hint="default" w:ascii="Times New Roman" w:hAnsi="Times New Roman" w:cs="Times New Roman"/>
                <w:color w:val="000000"/>
                <w:sz w:val="24"/>
                <w:highlight w:val="none"/>
              </w:rPr>
            </w:pPr>
          </w:p>
        </w:tc>
      </w:tr>
      <w:tr w14:paraId="62490BAB">
        <w:tblPrEx>
          <w:tblCellMar>
            <w:top w:w="0" w:type="dxa"/>
            <w:left w:w="108" w:type="dxa"/>
            <w:bottom w:w="0" w:type="dxa"/>
            <w:right w:w="108" w:type="dxa"/>
          </w:tblCellMar>
        </w:tblPrEx>
        <w:trPr>
          <w:trHeight w:val="294" w:hRule="atLeast"/>
          <w:jc w:val="center"/>
        </w:trPr>
        <w:tc>
          <w:tcPr>
            <w:tcW w:w="2222" w:type="dxa"/>
            <w:vMerge w:val="continue"/>
            <w:tcBorders>
              <w:left w:val="single" w:color="000000" w:sz="4" w:space="0"/>
              <w:right w:val="single" w:color="000000" w:sz="4" w:space="0"/>
            </w:tcBorders>
            <w:shd w:val="clear" w:color="auto" w:fill="auto"/>
            <w:vAlign w:val="center"/>
          </w:tcPr>
          <w:p w14:paraId="4CFECC6A">
            <w:pPr>
              <w:jc w:val="center"/>
              <w:rPr>
                <w:rFonts w:hint="default" w:ascii="Times New Roman" w:hAnsi="Times New Roman" w:eastAsia="仿宋_GB2312" w:cs="Times New Roman"/>
                <w:color w:val="000000"/>
                <w:sz w:val="24"/>
                <w:highlight w:val="none"/>
              </w:rPr>
            </w:pPr>
          </w:p>
        </w:tc>
        <w:tc>
          <w:tcPr>
            <w:tcW w:w="2970" w:type="dxa"/>
            <w:vMerge w:val="restart"/>
            <w:tcBorders>
              <w:top w:val="single" w:color="000000" w:sz="4" w:space="0"/>
              <w:left w:val="single" w:color="000000" w:sz="4" w:space="0"/>
              <w:right w:val="single" w:color="000000" w:sz="4" w:space="0"/>
            </w:tcBorders>
            <w:shd w:val="clear" w:color="auto" w:fill="auto"/>
            <w:vAlign w:val="center"/>
          </w:tcPr>
          <w:p w14:paraId="06B8EA11">
            <w:pPr>
              <w:widowControl/>
              <w:kinsoku w:val="0"/>
              <w:autoSpaceDE w:val="0"/>
              <w:autoSpaceDN w:val="0"/>
              <w:adjustRightInd w:val="0"/>
              <w:snapToGrid w:val="0"/>
              <w:spacing w:line="0" w:lineRule="atLeast"/>
              <w:jc w:val="center"/>
              <w:rPr>
                <w:rFonts w:hint="default" w:ascii="Times New Roman" w:hAnsi="Times New Roman" w:cs="Times New Roman"/>
                <w:highlight w:val="none"/>
              </w:rPr>
            </w:pPr>
            <w:r>
              <w:rPr>
                <w:rFonts w:hint="default" w:ascii="Times New Roman" w:hAnsi="Times New Roman" w:eastAsia="仿宋_GB2312" w:cs="Times New Roman"/>
                <w:color w:val="000000"/>
                <w:kern w:val="0"/>
                <w:sz w:val="24"/>
                <w:highlight w:val="none"/>
                <w:lang w:bidi="ar"/>
              </w:rPr>
              <w:t>已申报主体数量</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7BCC8">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合作社</w:t>
            </w:r>
          </w:p>
          <w:p w14:paraId="2D754FC6">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（个）</w:t>
            </w: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D8EFF">
            <w:pPr>
              <w:widowControl/>
              <w:jc w:val="center"/>
              <w:rPr>
                <w:rFonts w:hint="default" w:ascii="Times New Roman" w:hAnsi="Times New Roman" w:cs="Times New Roman"/>
                <w:color w:val="000000"/>
                <w:sz w:val="24"/>
                <w:highlight w:val="none"/>
              </w:rPr>
            </w:pPr>
          </w:p>
        </w:tc>
      </w:tr>
      <w:tr w14:paraId="43B0EE14">
        <w:tblPrEx>
          <w:tblCellMar>
            <w:top w:w="0" w:type="dxa"/>
            <w:left w:w="108" w:type="dxa"/>
            <w:bottom w:w="0" w:type="dxa"/>
            <w:right w:w="108" w:type="dxa"/>
          </w:tblCellMar>
        </w:tblPrEx>
        <w:trPr>
          <w:trHeight w:val="294" w:hRule="atLeast"/>
          <w:jc w:val="center"/>
        </w:trPr>
        <w:tc>
          <w:tcPr>
            <w:tcW w:w="2222" w:type="dxa"/>
            <w:vMerge w:val="continue"/>
            <w:tcBorders>
              <w:left w:val="single" w:color="000000" w:sz="4" w:space="0"/>
              <w:right w:val="single" w:color="000000" w:sz="4" w:space="0"/>
            </w:tcBorders>
            <w:shd w:val="clear" w:color="auto" w:fill="auto"/>
            <w:vAlign w:val="center"/>
          </w:tcPr>
          <w:p w14:paraId="6303C492">
            <w:pPr>
              <w:widowControl/>
              <w:jc w:val="center"/>
              <w:rPr>
                <w:rFonts w:hint="default" w:ascii="Times New Roman" w:hAnsi="Times New Roman" w:cs="Times New Roman"/>
                <w:highlight w:val="none"/>
              </w:rPr>
            </w:pPr>
          </w:p>
        </w:tc>
        <w:tc>
          <w:tcPr>
            <w:tcW w:w="2970" w:type="dxa"/>
            <w:vMerge w:val="continue"/>
            <w:tcBorders>
              <w:left w:val="single" w:color="000000" w:sz="4" w:space="0"/>
              <w:right w:val="single" w:color="000000" w:sz="4" w:space="0"/>
            </w:tcBorders>
            <w:shd w:val="clear" w:color="auto" w:fill="auto"/>
            <w:vAlign w:val="center"/>
          </w:tcPr>
          <w:p w14:paraId="03C37A68">
            <w:pPr>
              <w:widowControl/>
              <w:jc w:val="center"/>
              <w:rPr>
                <w:rFonts w:hint="default" w:ascii="Times New Roman" w:hAnsi="Times New Roman" w:cs="Times New Roman"/>
                <w:highlight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975E8">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家庭农场</w:t>
            </w:r>
          </w:p>
          <w:p w14:paraId="26F14BAB">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（个）</w:t>
            </w: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46705">
            <w:pPr>
              <w:widowControl/>
              <w:jc w:val="center"/>
              <w:rPr>
                <w:rFonts w:hint="default" w:ascii="Times New Roman" w:hAnsi="Times New Roman" w:cs="Times New Roman"/>
                <w:highlight w:val="none"/>
              </w:rPr>
            </w:pPr>
          </w:p>
        </w:tc>
      </w:tr>
      <w:tr w14:paraId="5C919FBB">
        <w:tblPrEx>
          <w:tblCellMar>
            <w:top w:w="0" w:type="dxa"/>
            <w:left w:w="108" w:type="dxa"/>
            <w:bottom w:w="0" w:type="dxa"/>
            <w:right w:w="108" w:type="dxa"/>
          </w:tblCellMar>
        </w:tblPrEx>
        <w:trPr>
          <w:trHeight w:val="294" w:hRule="atLeast"/>
          <w:jc w:val="center"/>
        </w:trPr>
        <w:tc>
          <w:tcPr>
            <w:tcW w:w="2222" w:type="dxa"/>
            <w:vMerge w:val="continue"/>
            <w:tcBorders>
              <w:left w:val="single" w:color="000000" w:sz="4" w:space="0"/>
              <w:right w:val="single" w:color="000000" w:sz="4" w:space="0"/>
            </w:tcBorders>
            <w:shd w:val="clear" w:color="auto" w:fill="auto"/>
            <w:vAlign w:val="center"/>
          </w:tcPr>
          <w:p w14:paraId="6A39BFBB">
            <w:pPr>
              <w:widowControl/>
              <w:jc w:val="center"/>
              <w:rPr>
                <w:rFonts w:hint="default" w:ascii="Times New Roman" w:hAnsi="Times New Roman" w:cs="Times New Roman"/>
                <w:highlight w:val="none"/>
              </w:rPr>
            </w:pPr>
          </w:p>
        </w:tc>
        <w:tc>
          <w:tcPr>
            <w:tcW w:w="2970" w:type="dxa"/>
            <w:vMerge w:val="continue"/>
            <w:tcBorders>
              <w:left w:val="single" w:color="000000" w:sz="4" w:space="0"/>
              <w:bottom w:val="single" w:color="000000" w:sz="4" w:space="0"/>
              <w:right w:val="single" w:color="000000" w:sz="4" w:space="0"/>
            </w:tcBorders>
            <w:shd w:val="clear" w:color="auto" w:fill="auto"/>
            <w:vAlign w:val="center"/>
          </w:tcPr>
          <w:p w14:paraId="23404A92">
            <w:pPr>
              <w:widowControl/>
              <w:jc w:val="center"/>
              <w:rPr>
                <w:rFonts w:hint="default" w:ascii="Times New Roman" w:hAnsi="Times New Roman" w:cs="Times New Roman"/>
                <w:highlight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A9AC8">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种植大户</w:t>
            </w:r>
          </w:p>
          <w:p w14:paraId="4625438B">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（个）</w:t>
            </w: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3B47A">
            <w:pPr>
              <w:widowControl/>
              <w:jc w:val="center"/>
              <w:rPr>
                <w:rFonts w:hint="default" w:ascii="Times New Roman" w:hAnsi="Times New Roman" w:cs="Times New Roman"/>
                <w:highlight w:val="none"/>
              </w:rPr>
            </w:pPr>
          </w:p>
        </w:tc>
      </w:tr>
      <w:tr w14:paraId="4515966A">
        <w:tblPrEx>
          <w:tblCellMar>
            <w:top w:w="0" w:type="dxa"/>
            <w:left w:w="108" w:type="dxa"/>
            <w:bottom w:w="0" w:type="dxa"/>
            <w:right w:w="108" w:type="dxa"/>
          </w:tblCellMar>
        </w:tblPrEx>
        <w:trPr>
          <w:trHeight w:val="309" w:hRule="atLeast"/>
          <w:jc w:val="center"/>
        </w:trPr>
        <w:tc>
          <w:tcPr>
            <w:tcW w:w="2222" w:type="dxa"/>
            <w:vMerge w:val="continue"/>
            <w:tcBorders>
              <w:left w:val="single" w:color="000000" w:sz="4" w:space="0"/>
              <w:right w:val="single" w:color="000000" w:sz="4" w:space="0"/>
            </w:tcBorders>
            <w:shd w:val="clear" w:color="auto" w:fill="auto"/>
            <w:vAlign w:val="center"/>
          </w:tcPr>
          <w:p w14:paraId="69EEDAD5">
            <w:pPr>
              <w:jc w:val="center"/>
              <w:rPr>
                <w:rFonts w:hint="default" w:ascii="Times New Roman" w:hAnsi="Times New Roman" w:eastAsia="仿宋_GB2312" w:cs="Times New Roman"/>
                <w:color w:val="000000"/>
                <w:sz w:val="24"/>
                <w:highlight w:val="none"/>
              </w:rPr>
            </w:pPr>
          </w:p>
        </w:tc>
        <w:tc>
          <w:tcPr>
            <w:tcW w:w="2970" w:type="dxa"/>
            <w:vMerge w:val="restart"/>
            <w:tcBorders>
              <w:top w:val="single" w:color="000000" w:sz="4" w:space="0"/>
              <w:left w:val="single" w:color="000000" w:sz="4" w:space="0"/>
              <w:right w:val="single" w:color="000000" w:sz="4" w:space="0"/>
            </w:tcBorders>
            <w:shd w:val="clear" w:color="auto" w:fill="auto"/>
            <w:vAlign w:val="center"/>
          </w:tcPr>
          <w:p w14:paraId="00DC3038">
            <w:pPr>
              <w:widowControl/>
              <w:kinsoku w:val="0"/>
              <w:autoSpaceDE w:val="0"/>
              <w:autoSpaceDN w:val="0"/>
              <w:adjustRightInd w:val="0"/>
              <w:snapToGrid w:val="0"/>
              <w:spacing w:line="0" w:lineRule="atLeast"/>
              <w:jc w:val="center"/>
              <w:rPr>
                <w:rFonts w:hint="default" w:ascii="Times New Roman" w:hAnsi="Times New Roman" w:cs="Times New Roman"/>
                <w:highlight w:val="none"/>
              </w:rPr>
            </w:pPr>
            <w:r>
              <w:rPr>
                <w:rFonts w:hint="default" w:ascii="Times New Roman" w:hAnsi="Times New Roman" w:eastAsia="仿宋_GB2312" w:cs="Times New Roman"/>
                <w:color w:val="000000"/>
                <w:kern w:val="0"/>
                <w:sz w:val="24"/>
                <w:highlight w:val="none"/>
                <w:lang w:bidi="ar"/>
              </w:rPr>
              <w:t>拟奖补主体数量</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6CDB7">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合作社</w:t>
            </w:r>
          </w:p>
          <w:p w14:paraId="06295907">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（个）</w:t>
            </w: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58671">
            <w:pPr>
              <w:widowControl/>
              <w:jc w:val="center"/>
              <w:rPr>
                <w:rFonts w:hint="default" w:ascii="Times New Roman" w:hAnsi="Times New Roman" w:cs="Times New Roman"/>
                <w:color w:val="000000"/>
                <w:sz w:val="24"/>
                <w:highlight w:val="none"/>
              </w:rPr>
            </w:pPr>
          </w:p>
        </w:tc>
      </w:tr>
      <w:tr w14:paraId="2ACC16C0">
        <w:tblPrEx>
          <w:tblCellMar>
            <w:top w:w="0" w:type="dxa"/>
            <w:left w:w="108" w:type="dxa"/>
            <w:bottom w:w="0" w:type="dxa"/>
            <w:right w:w="108" w:type="dxa"/>
          </w:tblCellMar>
        </w:tblPrEx>
        <w:trPr>
          <w:trHeight w:val="309" w:hRule="atLeast"/>
          <w:jc w:val="center"/>
        </w:trPr>
        <w:tc>
          <w:tcPr>
            <w:tcW w:w="2222" w:type="dxa"/>
            <w:vMerge w:val="continue"/>
            <w:tcBorders>
              <w:left w:val="single" w:color="000000" w:sz="4" w:space="0"/>
              <w:right w:val="single" w:color="000000" w:sz="4" w:space="0"/>
            </w:tcBorders>
            <w:shd w:val="clear" w:color="auto" w:fill="auto"/>
            <w:vAlign w:val="center"/>
          </w:tcPr>
          <w:p w14:paraId="349FE4CA">
            <w:pPr>
              <w:widowControl/>
              <w:jc w:val="center"/>
              <w:rPr>
                <w:rFonts w:hint="default" w:ascii="Times New Roman" w:hAnsi="Times New Roman" w:cs="Times New Roman"/>
                <w:highlight w:val="none"/>
              </w:rPr>
            </w:pPr>
          </w:p>
        </w:tc>
        <w:tc>
          <w:tcPr>
            <w:tcW w:w="2970" w:type="dxa"/>
            <w:vMerge w:val="continue"/>
            <w:tcBorders>
              <w:left w:val="single" w:color="000000" w:sz="4" w:space="0"/>
              <w:right w:val="single" w:color="000000" w:sz="4" w:space="0"/>
            </w:tcBorders>
            <w:shd w:val="clear" w:color="auto" w:fill="auto"/>
            <w:vAlign w:val="center"/>
          </w:tcPr>
          <w:p w14:paraId="53124B79">
            <w:pPr>
              <w:widowControl/>
              <w:jc w:val="center"/>
              <w:rPr>
                <w:rFonts w:hint="default" w:ascii="Times New Roman" w:hAnsi="Times New Roman" w:cs="Times New Roman"/>
                <w:highlight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EBB08">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家庭农场</w:t>
            </w:r>
          </w:p>
          <w:p w14:paraId="4124A34B">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（个）</w:t>
            </w: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260EB">
            <w:pPr>
              <w:widowControl/>
              <w:jc w:val="center"/>
              <w:rPr>
                <w:rFonts w:hint="default" w:ascii="Times New Roman" w:hAnsi="Times New Roman" w:cs="Times New Roman"/>
                <w:highlight w:val="none"/>
              </w:rPr>
            </w:pPr>
          </w:p>
        </w:tc>
      </w:tr>
      <w:tr w14:paraId="5B37662A">
        <w:tblPrEx>
          <w:tblCellMar>
            <w:top w:w="0" w:type="dxa"/>
            <w:left w:w="108" w:type="dxa"/>
            <w:bottom w:w="0" w:type="dxa"/>
            <w:right w:w="108" w:type="dxa"/>
          </w:tblCellMar>
        </w:tblPrEx>
        <w:trPr>
          <w:trHeight w:val="309" w:hRule="atLeast"/>
          <w:jc w:val="center"/>
        </w:trPr>
        <w:tc>
          <w:tcPr>
            <w:tcW w:w="2222" w:type="dxa"/>
            <w:vMerge w:val="continue"/>
            <w:tcBorders>
              <w:left w:val="single" w:color="000000" w:sz="4" w:space="0"/>
              <w:right w:val="single" w:color="000000" w:sz="4" w:space="0"/>
            </w:tcBorders>
            <w:shd w:val="clear" w:color="auto" w:fill="auto"/>
            <w:vAlign w:val="center"/>
          </w:tcPr>
          <w:p w14:paraId="72108643">
            <w:pPr>
              <w:widowControl/>
              <w:jc w:val="center"/>
              <w:rPr>
                <w:rFonts w:hint="default" w:ascii="Times New Roman" w:hAnsi="Times New Roman" w:cs="Times New Roman"/>
                <w:highlight w:val="none"/>
              </w:rPr>
            </w:pPr>
          </w:p>
        </w:tc>
        <w:tc>
          <w:tcPr>
            <w:tcW w:w="2970" w:type="dxa"/>
            <w:vMerge w:val="continue"/>
            <w:tcBorders>
              <w:left w:val="single" w:color="000000" w:sz="4" w:space="0"/>
              <w:bottom w:val="single" w:color="000000" w:sz="4" w:space="0"/>
              <w:right w:val="single" w:color="000000" w:sz="4" w:space="0"/>
            </w:tcBorders>
            <w:shd w:val="clear" w:color="auto" w:fill="auto"/>
            <w:vAlign w:val="center"/>
          </w:tcPr>
          <w:p w14:paraId="7A379F5C">
            <w:pPr>
              <w:widowControl/>
              <w:jc w:val="center"/>
              <w:rPr>
                <w:rFonts w:hint="default" w:ascii="Times New Roman" w:hAnsi="Times New Roman" w:cs="Times New Roman"/>
                <w:highlight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67504">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种植大户</w:t>
            </w:r>
          </w:p>
          <w:p w14:paraId="0C5C46AB">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（个）</w:t>
            </w: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68970">
            <w:pPr>
              <w:widowControl/>
              <w:jc w:val="center"/>
              <w:rPr>
                <w:rFonts w:hint="default" w:ascii="Times New Roman" w:hAnsi="Times New Roman" w:cs="Times New Roman"/>
                <w:highlight w:val="none"/>
              </w:rPr>
            </w:pPr>
          </w:p>
        </w:tc>
      </w:tr>
      <w:tr w14:paraId="1779D834">
        <w:tblPrEx>
          <w:tblCellMar>
            <w:top w:w="0" w:type="dxa"/>
            <w:left w:w="108" w:type="dxa"/>
            <w:bottom w:w="0" w:type="dxa"/>
            <w:right w:w="108" w:type="dxa"/>
          </w:tblCellMar>
        </w:tblPrEx>
        <w:trPr>
          <w:trHeight w:val="242" w:hRule="atLeast"/>
          <w:jc w:val="center"/>
        </w:trPr>
        <w:tc>
          <w:tcPr>
            <w:tcW w:w="2222" w:type="dxa"/>
            <w:vMerge w:val="continue"/>
            <w:tcBorders>
              <w:left w:val="single" w:color="000000" w:sz="4" w:space="0"/>
              <w:right w:val="single" w:color="000000" w:sz="4" w:space="0"/>
            </w:tcBorders>
            <w:shd w:val="clear" w:color="auto" w:fill="auto"/>
            <w:vAlign w:val="center"/>
          </w:tcPr>
          <w:p w14:paraId="5F770992">
            <w:pPr>
              <w:jc w:val="center"/>
              <w:rPr>
                <w:rFonts w:hint="default" w:ascii="Times New Roman" w:hAnsi="Times New Roman" w:eastAsia="仿宋_GB2312" w:cs="Times New Roman"/>
                <w:color w:val="000000"/>
                <w:sz w:val="24"/>
                <w:highlight w:val="none"/>
              </w:rPr>
            </w:pPr>
          </w:p>
        </w:tc>
        <w:tc>
          <w:tcPr>
            <w:tcW w:w="2970" w:type="dxa"/>
            <w:vMerge w:val="restart"/>
            <w:tcBorders>
              <w:top w:val="single" w:color="000000" w:sz="4" w:space="0"/>
              <w:left w:val="single" w:color="000000" w:sz="4" w:space="0"/>
              <w:right w:val="single" w:color="000000" w:sz="4" w:space="0"/>
            </w:tcBorders>
            <w:shd w:val="clear" w:color="auto" w:fill="auto"/>
            <w:vAlign w:val="center"/>
          </w:tcPr>
          <w:p w14:paraId="5B8D51D5">
            <w:pPr>
              <w:widowControl/>
              <w:jc w:val="center"/>
              <w:rPr>
                <w:rFonts w:hint="default" w:ascii="Times New Roman" w:hAnsi="Times New Roman" w:eastAsia="仿宋_GB2312" w:cs="Times New Roman"/>
                <w:color w:val="000000"/>
                <w:sz w:val="24"/>
                <w:highlight w:val="none"/>
              </w:rPr>
            </w:pPr>
            <w:r>
              <w:rPr>
                <w:rFonts w:hint="default" w:ascii="Times New Roman" w:hAnsi="Times New Roman" w:eastAsia="仿宋_GB2312" w:cs="Times New Roman"/>
                <w:color w:val="000000"/>
                <w:sz w:val="24"/>
                <w:highlight w:val="none"/>
              </w:rPr>
              <w:t>项目绩效完成情况</w:t>
            </w: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33617">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支持技术模式</w:t>
            </w: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72E6">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支持面积</w:t>
            </w:r>
          </w:p>
          <w:p w14:paraId="5A389810">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（万亩）</w:t>
            </w:r>
          </w:p>
        </w:tc>
      </w:tr>
      <w:tr w14:paraId="62CBF0FC">
        <w:tblPrEx>
          <w:tblCellMar>
            <w:top w:w="0" w:type="dxa"/>
            <w:left w:w="108" w:type="dxa"/>
            <w:bottom w:w="0" w:type="dxa"/>
            <w:right w:w="108" w:type="dxa"/>
          </w:tblCellMar>
        </w:tblPrEx>
        <w:trPr>
          <w:trHeight w:val="242" w:hRule="atLeast"/>
          <w:jc w:val="center"/>
        </w:trPr>
        <w:tc>
          <w:tcPr>
            <w:tcW w:w="2222" w:type="dxa"/>
            <w:vMerge w:val="continue"/>
            <w:tcBorders>
              <w:left w:val="single" w:color="000000" w:sz="4" w:space="0"/>
              <w:right w:val="single" w:color="000000" w:sz="4" w:space="0"/>
            </w:tcBorders>
            <w:shd w:val="clear" w:color="auto" w:fill="auto"/>
            <w:vAlign w:val="center"/>
          </w:tcPr>
          <w:p w14:paraId="1E58E207">
            <w:pPr>
              <w:jc w:val="center"/>
              <w:rPr>
                <w:rFonts w:hint="default" w:ascii="Times New Roman" w:hAnsi="Times New Roman" w:eastAsia="仿宋_GB2312" w:cs="Times New Roman"/>
                <w:color w:val="000000"/>
                <w:sz w:val="24"/>
                <w:highlight w:val="none"/>
              </w:rPr>
            </w:pPr>
          </w:p>
        </w:tc>
        <w:tc>
          <w:tcPr>
            <w:tcW w:w="2970" w:type="dxa"/>
            <w:vMerge w:val="continue"/>
            <w:tcBorders>
              <w:left w:val="single" w:color="000000" w:sz="4" w:space="0"/>
              <w:right w:val="single" w:color="000000" w:sz="4" w:space="0"/>
            </w:tcBorders>
            <w:shd w:val="clear" w:color="auto" w:fill="auto"/>
            <w:vAlign w:val="center"/>
          </w:tcPr>
          <w:p w14:paraId="6542BD28">
            <w:pPr>
              <w:widowControl/>
              <w:jc w:val="center"/>
              <w:rPr>
                <w:rFonts w:hint="default" w:ascii="Times New Roman" w:hAnsi="Times New Roman" w:eastAsia="仿宋_GB2312" w:cs="Times New Roman"/>
                <w:color w:val="000000"/>
                <w:sz w:val="24"/>
                <w:highlight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E208B">
            <w:pPr>
              <w:widowControl/>
              <w:jc w:val="center"/>
              <w:rPr>
                <w:rFonts w:hint="default" w:ascii="Times New Roman" w:hAnsi="Times New Roman" w:cs="Times New Roman"/>
                <w:color w:val="000000"/>
                <w:sz w:val="24"/>
                <w:highlight w:val="none"/>
              </w:rPr>
            </w:pP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D2F22">
            <w:pPr>
              <w:widowControl/>
              <w:jc w:val="center"/>
              <w:rPr>
                <w:rFonts w:hint="default" w:ascii="Times New Roman" w:hAnsi="Times New Roman" w:cs="Times New Roman"/>
                <w:color w:val="000000"/>
                <w:sz w:val="24"/>
                <w:highlight w:val="none"/>
              </w:rPr>
            </w:pPr>
          </w:p>
        </w:tc>
      </w:tr>
      <w:tr w14:paraId="64A84A99">
        <w:tblPrEx>
          <w:tblCellMar>
            <w:top w:w="0" w:type="dxa"/>
            <w:left w:w="108" w:type="dxa"/>
            <w:bottom w:w="0" w:type="dxa"/>
            <w:right w:w="108" w:type="dxa"/>
          </w:tblCellMar>
        </w:tblPrEx>
        <w:trPr>
          <w:trHeight w:val="242" w:hRule="atLeast"/>
          <w:jc w:val="center"/>
        </w:trPr>
        <w:tc>
          <w:tcPr>
            <w:tcW w:w="2222" w:type="dxa"/>
            <w:vMerge w:val="continue"/>
            <w:tcBorders>
              <w:left w:val="single" w:color="000000" w:sz="4" w:space="0"/>
              <w:right w:val="single" w:color="000000" w:sz="4" w:space="0"/>
            </w:tcBorders>
            <w:shd w:val="clear" w:color="auto" w:fill="auto"/>
            <w:vAlign w:val="center"/>
          </w:tcPr>
          <w:p w14:paraId="493A8152">
            <w:pPr>
              <w:widowControl/>
              <w:jc w:val="center"/>
              <w:rPr>
                <w:rFonts w:hint="default" w:ascii="Times New Roman" w:hAnsi="Times New Roman" w:cs="Times New Roman"/>
                <w:highlight w:val="none"/>
              </w:rPr>
            </w:pPr>
          </w:p>
        </w:tc>
        <w:tc>
          <w:tcPr>
            <w:tcW w:w="2970" w:type="dxa"/>
            <w:vMerge w:val="continue"/>
            <w:tcBorders>
              <w:left w:val="single" w:color="000000" w:sz="4" w:space="0"/>
              <w:right w:val="single" w:color="000000" w:sz="4" w:space="0"/>
            </w:tcBorders>
            <w:shd w:val="clear" w:color="auto" w:fill="auto"/>
            <w:vAlign w:val="center"/>
          </w:tcPr>
          <w:p w14:paraId="30DB2465">
            <w:pPr>
              <w:widowControl/>
              <w:jc w:val="center"/>
              <w:rPr>
                <w:rFonts w:hint="default" w:ascii="Times New Roman" w:hAnsi="Times New Roman" w:cs="Times New Roman"/>
                <w:highlight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2C62C">
            <w:pPr>
              <w:widowControl/>
              <w:jc w:val="center"/>
              <w:rPr>
                <w:rFonts w:hint="default" w:ascii="Times New Roman" w:hAnsi="Times New Roman" w:cs="Times New Roman"/>
                <w:highlight w:val="none"/>
              </w:rPr>
            </w:pP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3D708">
            <w:pPr>
              <w:widowControl/>
              <w:jc w:val="center"/>
              <w:rPr>
                <w:rFonts w:hint="default" w:ascii="Times New Roman" w:hAnsi="Times New Roman" w:cs="Times New Roman"/>
                <w:highlight w:val="none"/>
              </w:rPr>
            </w:pPr>
          </w:p>
        </w:tc>
      </w:tr>
      <w:tr w14:paraId="02E5F71C">
        <w:tblPrEx>
          <w:tblCellMar>
            <w:top w:w="0" w:type="dxa"/>
            <w:left w:w="108" w:type="dxa"/>
            <w:bottom w:w="0" w:type="dxa"/>
            <w:right w:w="108" w:type="dxa"/>
          </w:tblCellMar>
        </w:tblPrEx>
        <w:trPr>
          <w:trHeight w:val="242" w:hRule="atLeast"/>
          <w:jc w:val="center"/>
        </w:trPr>
        <w:tc>
          <w:tcPr>
            <w:tcW w:w="2222" w:type="dxa"/>
            <w:vMerge w:val="continue"/>
            <w:tcBorders>
              <w:left w:val="single" w:color="000000" w:sz="4" w:space="0"/>
              <w:right w:val="single" w:color="000000" w:sz="4" w:space="0"/>
            </w:tcBorders>
            <w:shd w:val="clear" w:color="auto" w:fill="auto"/>
            <w:vAlign w:val="center"/>
          </w:tcPr>
          <w:p w14:paraId="0ECA426D">
            <w:pPr>
              <w:widowControl/>
              <w:jc w:val="center"/>
              <w:rPr>
                <w:rFonts w:hint="default" w:ascii="Times New Roman" w:hAnsi="Times New Roman" w:cs="Times New Roman"/>
                <w:highlight w:val="none"/>
              </w:rPr>
            </w:pPr>
          </w:p>
        </w:tc>
        <w:tc>
          <w:tcPr>
            <w:tcW w:w="2970" w:type="dxa"/>
            <w:vMerge w:val="continue"/>
            <w:tcBorders>
              <w:left w:val="single" w:color="000000" w:sz="4" w:space="0"/>
              <w:bottom w:val="single" w:color="000000" w:sz="4" w:space="0"/>
              <w:right w:val="single" w:color="000000" w:sz="4" w:space="0"/>
            </w:tcBorders>
            <w:shd w:val="clear" w:color="auto" w:fill="auto"/>
            <w:vAlign w:val="center"/>
          </w:tcPr>
          <w:p w14:paraId="35940F10">
            <w:pPr>
              <w:widowControl/>
              <w:jc w:val="center"/>
              <w:rPr>
                <w:rFonts w:hint="default" w:ascii="Times New Roman" w:hAnsi="Times New Roman" w:cs="Times New Roman"/>
                <w:highlight w:val="none"/>
              </w:rPr>
            </w:pPr>
          </w:p>
        </w:tc>
        <w:tc>
          <w:tcPr>
            <w:tcW w:w="18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4CF5A">
            <w:pPr>
              <w:widowControl/>
              <w:jc w:val="center"/>
              <w:rPr>
                <w:rFonts w:hint="default" w:ascii="Times New Roman" w:hAnsi="Times New Roman" w:cs="Times New Roman"/>
                <w:highlight w:val="none"/>
              </w:rPr>
            </w:pPr>
            <w:r>
              <w:rPr>
                <w:rFonts w:hint="default" w:ascii="Times New Roman" w:hAnsi="Times New Roman" w:cs="Times New Roman"/>
                <w:highlight w:val="none"/>
              </w:rPr>
              <w:t>……</w:t>
            </w:r>
          </w:p>
        </w:tc>
        <w:tc>
          <w:tcPr>
            <w:tcW w:w="18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21D44">
            <w:pPr>
              <w:widowControl/>
              <w:jc w:val="center"/>
              <w:rPr>
                <w:rFonts w:hint="default" w:ascii="Times New Roman" w:hAnsi="Times New Roman" w:cs="Times New Roman"/>
                <w:highlight w:val="none"/>
              </w:rPr>
            </w:pPr>
          </w:p>
        </w:tc>
      </w:tr>
      <w:tr w14:paraId="0811B32F">
        <w:tblPrEx>
          <w:tblCellMar>
            <w:top w:w="0" w:type="dxa"/>
            <w:left w:w="108" w:type="dxa"/>
            <w:bottom w:w="0" w:type="dxa"/>
            <w:right w:w="108" w:type="dxa"/>
          </w:tblCellMar>
        </w:tblPrEx>
        <w:trPr>
          <w:trHeight w:val="619" w:hRule="atLeast"/>
          <w:jc w:val="center"/>
        </w:trPr>
        <w:tc>
          <w:tcPr>
            <w:tcW w:w="2222" w:type="dxa"/>
            <w:vMerge w:val="continue"/>
            <w:tcBorders>
              <w:left w:val="single" w:color="000000" w:sz="4" w:space="0"/>
              <w:right w:val="single" w:color="000000" w:sz="4" w:space="0"/>
            </w:tcBorders>
            <w:shd w:val="clear" w:color="auto" w:fill="auto"/>
            <w:vAlign w:val="center"/>
          </w:tcPr>
          <w:p w14:paraId="1042D7F6">
            <w:pPr>
              <w:jc w:val="center"/>
              <w:rPr>
                <w:rFonts w:hint="default" w:ascii="Times New Roman" w:hAnsi="Times New Roman" w:eastAsia="仿宋_GB2312" w:cs="Times New Roman"/>
                <w:color w:val="000000"/>
                <w:kern w:val="0"/>
                <w:sz w:val="22"/>
                <w:szCs w:val="22"/>
                <w:highlight w:val="none"/>
              </w:rPr>
            </w:pP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4F78E">
            <w:pPr>
              <w:widowControl/>
              <w:jc w:val="center"/>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sz w:val="24"/>
                <w:highlight w:val="none"/>
              </w:rPr>
              <w:t>开展技术指导次数</w:t>
            </w:r>
          </w:p>
        </w:tc>
        <w:tc>
          <w:tcPr>
            <w:tcW w:w="3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F85578">
            <w:pPr>
              <w:widowControl/>
              <w:jc w:val="center"/>
              <w:rPr>
                <w:rFonts w:hint="default" w:ascii="Times New Roman" w:hAnsi="Times New Roman" w:cs="Times New Roman"/>
                <w:color w:val="000000"/>
                <w:sz w:val="24"/>
                <w:highlight w:val="none"/>
              </w:rPr>
            </w:pPr>
          </w:p>
        </w:tc>
      </w:tr>
      <w:tr w14:paraId="484D0097">
        <w:tblPrEx>
          <w:tblCellMar>
            <w:top w:w="0" w:type="dxa"/>
            <w:left w:w="108" w:type="dxa"/>
            <w:bottom w:w="0" w:type="dxa"/>
            <w:right w:w="108" w:type="dxa"/>
          </w:tblCellMar>
        </w:tblPrEx>
        <w:trPr>
          <w:trHeight w:val="607" w:hRule="atLeast"/>
          <w:jc w:val="center"/>
        </w:trPr>
        <w:tc>
          <w:tcPr>
            <w:tcW w:w="2222" w:type="dxa"/>
            <w:vMerge w:val="continue"/>
            <w:tcBorders>
              <w:left w:val="single" w:color="000000" w:sz="4" w:space="0"/>
              <w:right w:val="single" w:color="000000" w:sz="4" w:space="0"/>
            </w:tcBorders>
            <w:shd w:val="clear" w:color="auto" w:fill="auto"/>
            <w:vAlign w:val="center"/>
          </w:tcPr>
          <w:p w14:paraId="2419B8CA">
            <w:pPr>
              <w:jc w:val="center"/>
              <w:rPr>
                <w:rFonts w:hint="default" w:ascii="Times New Roman" w:hAnsi="Times New Roman" w:eastAsia="仿宋_GB2312" w:cs="Times New Roman"/>
                <w:color w:val="000000"/>
                <w:sz w:val="24"/>
                <w:highlight w:val="none"/>
              </w:rPr>
            </w:pP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6E6A0">
            <w:pPr>
              <w:widowControl/>
              <w:jc w:val="center"/>
              <w:rPr>
                <w:rFonts w:hint="default" w:ascii="Times New Roman" w:hAnsi="Times New Roman" w:eastAsia="仿宋_GB2312" w:cs="Times New Roman"/>
                <w:color w:val="000000"/>
                <w:kern w:val="0"/>
                <w:sz w:val="24"/>
                <w:highlight w:val="none"/>
              </w:rPr>
            </w:pPr>
            <w:r>
              <w:rPr>
                <w:rFonts w:hint="default" w:ascii="Times New Roman" w:hAnsi="Times New Roman" w:eastAsia="仿宋_GB2312" w:cs="Times New Roman"/>
                <w:color w:val="000000"/>
                <w:sz w:val="24"/>
                <w:highlight w:val="none"/>
              </w:rPr>
              <w:t>开展宣传推广次数</w:t>
            </w:r>
          </w:p>
        </w:tc>
        <w:tc>
          <w:tcPr>
            <w:tcW w:w="3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3AE55B">
            <w:pPr>
              <w:widowControl/>
              <w:jc w:val="center"/>
              <w:rPr>
                <w:rFonts w:hint="default" w:ascii="Times New Roman" w:hAnsi="Times New Roman" w:cs="Times New Roman"/>
                <w:color w:val="000000"/>
                <w:sz w:val="24"/>
                <w:highlight w:val="none"/>
              </w:rPr>
            </w:pPr>
          </w:p>
        </w:tc>
      </w:tr>
      <w:tr w14:paraId="1AE1C5B2">
        <w:tblPrEx>
          <w:tblCellMar>
            <w:top w:w="0" w:type="dxa"/>
            <w:left w:w="108" w:type="dxa"/>
            <w:bottom w:w="0" w:type="dxa"/>
            <w:right w:w="108" w:type="dxa"/>
          </w:tblCellMar>
        </w:tblPrEx>
        <w:trPr>
          <w:trHeight w:val="717" w:hRule="atLeast"/>
          <w:jc w:val="center"/>
        </w:trPr>
        <w:tc>
          <w:tcPr>
            <w:tcW w:w="2222" w:type="dxa"/>
            <w:vMerge w:val="restart"/>
            <w:tcBorders>
              <w:top w:val="single" w:color="000000" w:sz="4" w:space="0"/>
              <w:left w:val="single" w:color="000000" w:sz="4" w:space="0"/>
              <w:right w:val="single" w:color="000000" w:sz="4" w:space="0"/>
            </w:tcBorders>
            <w:shd w:val="clear" w:color="auto" w:fill="auto"/>
            <w:vAlign w:val="center"/>
          </w:tcPr>
          <w:p w14:paraId="436D02FF">
            <w:pPr>
              <w:widowControl/>
              <w:kinsoku w:val="0"/>
              <w:autoSpaceDE w:val="0"/>
              <w:autoSpaceDN w:val="0"/>
              <w:adjustRightInd w:val="0"/>
              <w:snapToGrid w:val="0"/>
              <w:spacing w:line="0" w:lineRule="atLeast"/>
              <w:jc w:val="center"/>
              <w:rPr>
                <w:rFonts w:hint="default" w:ascii="Times New Roman" w:hAnsi="Times New Roman" w:eastAsia="仿宋_GB2312" w:cs="Times New Roman"/>
                <w:color w:val="000000"/>
                <w:kern w:val="0"/>
                <w:sz w:val="22"/>
                <w:szCs w:val="22"/>
                <w:highlight w:val="none"/>
                <w:lang w:bidi="ar"/>
              </w:rPr>
            </w:pPr>
            <w:r>
              <w:rPr>
                <w:rFonts w:hint="default" w:ascii="Times New Roman" w:hAnsi="Times New Roman" w:eastAsia="仿宋_GB2312" w:cs="Times New Roman"/>
                <w:color w:val="000000"/>
                <w:kern w:val="0"/>
                <w:sz w:val="22"/>
                <w:szCs w:val="22"/>
                <w:highlight w:val="none"/>
                <w:lang w:bidi="ar"/>
              </w:rPr>
              <w:t>资金使用情况</w:t>
            </w:r>
          </w:p>
          <w:p w14:paraId="059A222A">
            <w:pPr>
              <w:widowControl/>
              <w:kinsoku w:val="0"/>
              <w:autoSpaceDE w:val="0"/>
              <w:autoSpaceDN w:val="0"/>
              <w:adjustRightInd w:val="0"/>
              <w:snapToGrid w:val="0"/>
              <w:jc w:val="center"/>
              <w:rPr>
                <w:rFonts w:hint="default" w:ascii="Times New Roman" w:hAnsi="Times New Roman" w:cs="Times New Roman"/>
                <w:highlight w:val="none"/>
              </w:rPr>
            </w:pPr>
            <w:r>
              <w:rPr>
                <w:rFonts w:hint="default" w:ascii="Times New Roman" w:hAnsi="Times New Roman" w:eastAsia="仿宋_GB2312" w:cs="Times New Roman"/>
                <w:color w:val="000000"/>
                <w:kern w:val="0"/>
                <w:sz w:val="22"/>
                <w:szCs w:val="22"/>
                <w:highlight w:val="none"/>
                <w:lang w:bidi="ar"/>
              </w:rPr>
              <w:t>（万元）</w:t>
            </w: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1C53">
            <w:pPr>
              <w:widowControl/>
              <w:jc w:val="center"/>
              <w:rPr>
                <w:rFonts w:hint="default" w:ascii="Times New Roman" w:hAnsi="Times New Roman" w:eastAsia="仿宋_GB2312" w:cs="Times New Roman"/>
                <w:color w:val="000000"/>
                <w:kern w:val="0"/>
                <w:sz w:val="24"/>
                <w:highlight w:val="none"/>
                <w:lang w:bidi="ar"/>
              </w:rPr>
            </w:pPr>
            <w:r>
              <w:rPr>
                <w:rFonts w:hint="default" w:ascii="Times New Roman" w:hAnsi="Times New Roman" w:eastAsia="仿宋_GB2312" w:cs="Times New Roman"/>
                <w:color w:val="000000"/>
                <w:kern w:val="0"/>
                <w:sz w:val="24"/>
                <w:highlight w:val="none"/>
                <w:lang w:bidi="ar"/>
              </w:rPr>
              <w:t>项目总金额</w:t>
            </w:r>
          </w:p>
          <w:p w14:paraId="6C311F0B">
            <w:pPr>
              <w:widowControl/>
              <w:jc w:val="center"/>
              <w:rPr>
                <w:rFonts w:hint="default" w:ascii="Times New Roman" w:hAnsi="Times New Roman" w:eastAsia="仿宋_GB2312" w:cs="Times New Roman"/>
                <w:color w:val="000000"/>
                <w:sz w:val="24"/>
                <w:highlight w:val="none"/>
              </w:rPr>
            </w:pPr>
            <w:r>
              <w:rPr>
                <w:rFonts w:hint="default" w:ascii="Times New Roman" w:hAnsi="Times New Roman" w:eastAsia="仿宋_GB2312" w:cs="Times New Roman"/>
                <w:color w:val="000000"/>
                <w:kern w:val="0"/>
                <w:sz w:val="24"/>
                <w:highlight w:val="none"/>
                <w:lang w:bidi="ar"/>
              </w:rPr>
              <w:t>（含上年结余资金）</w:t>
            </w:r>
          </w:p>
        </w:tc>
        <w:tc>
          <w:tcPr>
            <w:tcW w:w="3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FE120D">
            <w:pPr>
              <w:widowControl/>
              <w:jc w:val="center"/>
              <w:rPr>
                <w:rFonts w:hint="default" w:ascii="Times New Roman" w:hAnsi="Times New Roman" w:cs="Times New Roman"/>
                <w:color w:val="000000"/>
                <w:sz w:val="24"/>
                <w:highlight w:val="none"/>
              </w:rPr>
            </w:pPr>
          </w:p>
        </w:tc>
      </w:tr>
      <w:tr w14:paraId="47EA9362">
        <w:tblPrEx>
          <w:tblCellMar>
            <w:top w:w="0" w:type="dxa"/>
            <w:left w:w="108" w:type="dxa"/>
            <w:bottom w:w="0" w:type="dxa"/>
            <w:right w:w="108" w:type="dxa"/>
          </w:tblCellMar>
        </w:tblPrEx>
        <w:trPr>
          <w:trHeight w:val="507" w:hRule="atLeast"/>
          <w:jc w:val="center"/>
        </w:trPr>
        <w:tc>
          <w:tcPr>
            <w:tcW w:w="2222" w:type="dxa"/>
            <w:vMerge w:val="continue"/>
            <w:tcBorders>
              <w:left w:val="single" w:color="000000" w:sz="4" w:space="0"/>
              <w:right w:val="single" w:color="000000" w:sz="4" w:space="0"/>
            </w:tcBorders>
            <w:shd w:val="clear" w:color="auto" w:fill="auto"/>
            <w:vAlign w:val="center"/>
          </w:tcPr>
          <w:p w14:paraId="3DB41943">
            <w:pPr>
              <w:jc w:val="center"/>
              <w:rPr>
                <w:rFonts w:hint="default" w:ascii="Times New Roman" w:hAnsi="Times New Roman" w:eastAsia="仿宋_GB2312" w:cs="Times New Roman"/>
                <w:color w:val="000000"/>
                <w:sz w:val="24"/>
                <w:highlight w:val="none"/>
              </w:rPr>
            </w:pP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452E7">
            <w:pPr>
              <w:widowControl/>
              <w:jc w:val="center"/>
              <w:rPr>
                <w:rFonts w:hint="default" w:ascii="Times New Roman" w:hAnsi="Times New Roman" w:eastAsia="仿宋_GB2312" w:cs="Times New Roman"/>
                <w:color w:val="000000"/>
                <w:sz w:val="24"/>
                <w:highlight w:val="none"/>
              </w:rPr>
            </w:pPr>
            <w:r>
              <w:rPr>
                <w:rFonts w:hint="default" w:ascii="Times New Roman" w:hAnsi="Times New Roman" w:eastAsia="仿宋_GB2312" w:cs="Times New Roman"/>
                <w:color w:val="000000"/>
                <w:sz w:val="24"/>
                <w:highlight w:val="none"/>
              </w:rPr>
              <w:t>已支出金额</w:t>
            </w:r>
          </w:p>
        </w:tc>
        <w:tc>
          <w:tcPr>
            <w:tcW w:w="3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86C8F02">
            <w:pPr>
              <w:widowControl/>
              <w:jc w:val="center"/>
              <w:rPr>
                <w:rFonts w:hint="default" w:ascii="Times New Roman" w:hAnsi="Times New Roman" w:cs="Times New Roman"/>
                <w:color w:val="000000"/>
                <w:sz w:val="24"/>
                <w:highlight w:val="none"/>
              </w:rPr>
            </w:pPr>
          </w:p>
        </w:tc>
      </w:tr>
      <w:tr w14:paraId="2BE305BA">
        <w:tblPrEx>
          <w:tblCellMar>
            <w:top w:w="0" w:type="dxa"/>
            <w:left w:w="108" w:type="dxa"/>
            <w:bottom w:w="0" w:type="dxa"/>
            <w:right w:w="108" w:type="dxa"/>
          </w:tblCellMar>
        </w:tblPrEx>
        <w:trPr>
          <w:trHeight w:val="498" w:hRule="atLeast"/>
          <w:jc w:val="center"/>
        </w:trPr>
        <w:tc>
          <w:tcPr>
            <w:tcW w:w="2222" w:type="dxa"/>
            <w:vMerge w:val="continue"/>
            <w:tcBorders>
              <w:left w:val="single" w:color="000000" w:sz="4" w:space="0"/>
              <w:bottom w:val="single" w:color="000000" w:sz="4" w:space="0"/>
              <w:right w:val="single" w:color="000000" w:sz="4" w:space="0"/>
            </w:tcBorders>
            <w:shd w:val="clear" w:color="auto" w:fill="auto"/>
            <w:vAlign w:val="center"/>
          </w:tcPr>
          <w:p w14:paraId="3B5A924E">
            <w:pPr>
              <w:jc w:val="center"/>
              <w:rPr>
                <w:rFonts w:hint="default" w:ascii="Times New Roman" w:hAnsi="Times New Roman" w:eastAsia="仿宋_GB2312" w:cs="Times New Roman"/>
                <w:color w:val="000000"/>
                <w:sz w:val="24"/>
                <w:highlight w:val="none"/>
              </w:rPr>
            </w:pPr>
          </w:p>
        </w:tc>
        <w:tc>
          <w:tcPr>
            <w:tcW w:w="29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38E3F">
            <w:pPr>
              <w:widowControl/>
              <w:jc w:val="center"/>
              <w:rPr>
                <w:rFonts w:hint="default" w:ascii="Times New Roman" w:hAnsi="Times New Roman" w:eastAsia="仿宋_GB2312" w:cs="Times New Roman"/>
                <w:color w:val="000000"/>
                <w:sz w:val="24"/>
                <w:highlight w:val="none"/>
              </w:rPr>
            </w:pPr>
            <w:r>
              <w:rPr>
                <w:rFonts w:hint="default" w:ascii="Times New Roman" w:hAnsi="Times New Roman" w:eastAsia="仿宋_GB2312" w:cs="Times New Roman"/>
                <w:color w:val="000000"/>
                <w:sz w:val="24"/>
                <w:highlight w:val="none"/>
              </w:rPr>
              <w:t>本级安排工作经费</w:t>
            </w:r>
          </w:p>
        </w:tc>
        <w:tc>
          <w:tcPr>
            <w:tcW w:w="372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4725E9">
            <w:pPr>
              <w:widowControl/>
              <w:jc w:val="center"/>
              <w:rPr>
                <w:rFonts w:hint="default" w:ascii="Times New Roman" w:hAnsi="Times New Roman" w:cs="Times New Roman"/>
                <w:color w:val="000000"/>
                <w:sz w:val="24"/>
                <w:highlight w:val="none"/>
              </w:rPr>
            </w:pPr>
          </w:p>
        </w:tc>
      </w:tr>
    </w:tbl>
    <w:p w14:paraId="42EA9A20">
      <w:pPr>
        <w:pStyle w:val="16"/>
        <w:pBdr>
          <w:top w:val="none" w:color="000000" w:sz="0" w:space="0"/>
          <w:left w:val="none" w:color="000000" w:sz="0" w:space="0"/>
          <w:bottom w:val="none" w:color="000000" w:sz="0" w:space="29"/>
          <w:right w:val="none" w:color="000000" w:sz="0" w:space="10"/>
        </w:pBdr>
        <w:autoSpaceDN w:val="0"/>
        <w:spacing w:line="600" w:lineRule="exact"/>
        <w:rPr>
          <w:rFonts w:hint="default" w:ascii="Times New Roman" w:hAnsi="Times New Roman" w:eastAsia="仿宋_GB2312" w:cs="Times New Roman"/>
          <w:sz w:val="32"/>
          <w:szCs w:val="32"/>
          <w:highlight w:val="none"/>
        </w:rPr>
        <w:sectPr>
          <w:pgSz w:w="11906" w:h="16838"/>
          <w:pgMar w:top="1701" w:right="1417" w:bottom="1701" w:left="1417" w:header="851" w:footer="992" w:gutter="0"/>
          <w:cols w:space="0" w:num="1"/>
          <w:docGrid w:type="lines" w:linePitch="312" w:charSpace="0"/>
        </w:sectPr>
      </w:pPr>
    </w:p>
    <w:p w14:paraId="43B2D1CE">
      <w:pPr>
        <w:pStyle w:val="16"/>
        <w:pBdr>
          <w:top w:val="none" w:color="000000" w:sz="0" w:space="0"/>
          <w:left w:val="none" w:color="000000" w:sz="0" w:space="0"/>
          <w:bottom w:val="none" w:color="000000" w:sz="0" w:space="29"/>
          <w:right w:val="none" w:color="000000" w:sz="0" w:space="10"/>
        </w:pBdr>
        <w:autoSpaceDN w:val="0"/>
        <w:spacing w:line="600" w:lineRule="exact"/>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附件3</w:t>
      </w:r>
    </w:p>
    <w:p w14:paraId="27C2C8E3">
      <w:pPr>
        <w:pStyle w:val="16"/>
        <w:pBdr>
          <w:top w:val="none" w:color="000000" w:sz="0" w:space="0"/>
          <w:left w:val="none" w:color="000000" w:sz="0" w:space="0"/>
          <w:bottom w:val="none" w:color="000000" w:sz="0" w:space="29"/>
          <w:right w:val="none" w:color="000000" w:sz="0" w:space="10"/>
        </w:pBdr>
        <w:autoSpaceDN w:val="0"/>
        <w:spacing w:line="600" w:lineRule="exact"/>
        <w:jc w:val="center"/>
        <w:outlineLvl w:val="0"/>
        <w:rPr>
          <w:rFonts w:hint="default" w:ascii="Times New Roman" w:hAnsi="Times New Roman" w:eastAsia="方正小标宋简体" w:cs="Times New Roman"/>
          <w:sz w:val="44"/>
          <w:szCs w:val="44"/>
          <w:highlight w:val="none"/>
        </w:rPr>
      </w:pPr>
      <w:r>
        <w:rPr>
          <w:rFonts w:hint="default" w:ascii="Times New Roman" w:hAnsi="Times New Roman" w:eastAsia="方正小标宋简体" w:cs="Times New Roman"/>
          <w:sz w:val="44"/>
          <w:szCs w:val="44"/>
          <w:highlight w:val="none"/>
        </w:rPr>
        <w:t>202</w:t>
      </w:r>
      <w:r>
        <w:rPr>
          <w:rFonts w:hint="default" w:ascii="Times New Roman" w:hAnsi="Times New Roman" w:eastAsia="方正小标宋简体" w:cs="Times New Roman"/>
          <w:sz w:val="44"/>
          <w:szCs w:val="44"/>
          <w:highlight w:val="none"/>
          <w:lang w:val="en-US" w:eastAsia="zh-CN"/>
        </w:rPr>
        <w:t>6</w:t>
      </w:r>
      <w:r>
        <w:rPr>
          <w:rFonts w:hint="default" w:ascii="Times New Roman" w:hAnsi="Times New Roman" w:eastAsia="方正小标宋简体" w:cs="Times New Roman"/>
          <w:sz w:val="44"/>
          <w:szCs w:val="44"/>
          <w:highlight w:val="none"/>
        </w:rPr>
        <w:t>年中央农业经营主体能力提升资金</w:t>
      </w:r>
    </w:p>
    <w:p w14:paraId="6FA3977C">
      <w:pPr>
        <w:pStyle w:val="16"/>
        <w:pBdr>
          <w:top w:val="none" w:color="000000" w:sz="0" w:space="0"/>
          <w:left w:val="none" w:color="000000" w:sz="0" w:space="0"/>
          <w:bottom w:val="none" w:color="000000" w:sz="0" w:space="29"/>
          <w:right w:val="none" w:color="000000" w:sz="0" w:space="10"/>
        </w:pBdr>
        <w:autoSpaceDN w:val="0"/>
        <w:spacing w:line="600" w:lineRule="exact"/>
        <w:jc w:val="center"/>
        <w:outlineLvl w:val="0"/>
        <w:rPr>
          <w:rFonts w:hint="default" w:ascii="Times New Roman" w:hAnsi="Times New Roman" w:eastAsia="方正小标宋简体" w:cs="Times New Roman"/>
          <w:sz w:val="44"/>
          <w:szCs w:val="44"/>
          <w:highlight w:val="none"/>
        </w:rPr>
      </w:pPr>
      <w:r>
        <w:rPr>
          <w:rFonts w:hint="default" w:ascii="Times New Roman" w:hAnsi="Times New Roman" w:eastAsia="方正小标宋简体" w:cs="Times New Roman"/>
          <w:sz w:val="44"/>
          <w:szCs w:val="44"/>
          <w:highlight w:val="none"/>
        </w:rPr>
        <w:t>（粮油规模种植主体单产提升）项目任务分配表</w:t>
      </w:r>
    </w:p>
    <w:tbl>
      <w:tblPr>
        <w:tblStyle w:val="9"/>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39"/>
        <w:gridCol w:w="3140"/>
        <w:gridCol w:w="3002"/>
      </w:tblGrid>
      <w:tr w14:paraId="4E201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1" w:type="pct"/>
          </w:tcPr>
          <w:p w14:paraId="57CA86A1">
            <w:pPr>
              <w:pStyle w:val="16"/>
              <w:autoSpaceDN w:val="0"/>
              <w:spacing w:line="600" w:lineRule="exact"/>
              <w:jc w:val="cente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序号</w:t>
            </w:r>
          </w:p>
        </w:tc>
        <w:tc>
          <w:tcPr>
            <w:tcW w:w="1691" w:type="pct"/>
          </w:tcPr>
          <w:p w14:paraId="56F2D59F">
            <w:pPr>
              <w:pStyle w:val="16"/>
              <w:autoSpaceDN w:val="0"/>
              <w:spacing w:line="600" w:lineRule="exact"/>
              <w:jc w:val="cente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县市</w:t>
            </w:r>
          </w:p>
        </w:tc>
        <w:tc>
          <w:tcPr>
            <w:tcW w:w="1617" w:type="pct"/>
          </w:tcPr>
          <w:p w14:paraId="207FAF37">
            <w:pPr>
              <w:pStyle w:val="16"/>
              <w:autoSpaceDN w:val="0"/>
              <w:spacing w:line="600" w:lineRule="exact"/>
              <w:jc w:val="center"/>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任务（万亩次）</w:t>
            </w:r>
          </w:p>
        </w:tc>
      </w:tr>
      <w:tr w14:paraId="3F3B1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6C852573">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w:t>
            </w:r>
          </w:p>
        </w:tc>
        <w:tc>
          <w:tcPr>
            <w:tcW w:w="1691" w:type="pct"/>
          </w:tcPr>
          <w:p w14:paraId="127EFCA4">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双阳区</w:t>
            </w:r>
          </w:p>
        </w:tc>
        <w:tc>
          <w:tcPr>
            <w:tcW w:w="1617" w:type="pct"/>
            <w:vAlign w:val="center"/>
          </w:tcPr>
          <w:p w14:paraId="6DCE352E">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0.26</w:t>
            </w:r>
          </w:p>
        </w:tc>
      </w:tr>
      <w:tr w14:paraId="1228C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3F07DC6C">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w:t>
            </w:r>
          </w:p>
        </w:tc>
        <w:tc>
          <w:tcPr>
            <w:tcW w:w="1691" w:type="pct"/>
          </w:tcPr>
          <w:p w14:paraId="0D58FDE8">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九台区</w:t>
            </w:r>
          </w:p>
        </w:tc>
        <w:tc>
          <w:tcPr>
            <w:tcW w:w="1617" w:type="pct"/>
            <w:vAlign w:val="center"/>
          </w:tcPr>
          <w:p w14:paraId="034A6310">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31.5</w:t>
            </w:r>
          </w:p>
        </w:tc>
      </w:tr>
      <w:tr w14:paraId="7F2FD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33BCD930">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w:t>
            </w:r>
          </w:p>
        </w:tc>
        <w:tc>
          <w:tcPr>
            <w:tcW w:w="1691" w:type="pct"/>
            <w:vAlign w:val="top"/>
          </w:tcPr>
          <w:p w14:paraId="2327A4B6">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公主岭市</w:t>
            </w:r>
          </w:p>
        </w:tc>
        <w:tc>
          <w:tcPr>
            <w:tcW w:w="1617" w:type="pct"/>
            <w:vAlign w:val="center"/>
          </w:tcPr>
          <w:p w14:paraId="26906F1B">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97</w:t>
            </w:r>
          </w:p>
        </w:tc>
      </w:tr>
      <w:tr w14:paraId="3EE24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7C173C91">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w:t>
            </w:r>
          </w:p>
        </w:tc>
        <w:tc>
          <w:tcPr>
            <w:tcW w:w="1691" w:type="pct"/>
            <w:vAlign w:val="top"/>
          </w:tcPr>
          <w:p w14:paraId="276BC726">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德惠市</w:t>
            </w:r>
          </w:p>
        </w:tc>
        <w:tc>
          <w:tcPr>
            <w:tcW w:w="1617" w:type="pct"/>
            <w:vAlign w:val="center"/>
          </w:tcPr>
          <w:p w14:paraId="16A3B6B1">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32</w:t>
            </w:r>
          </w:p>
        </w:tc>
      </w:tr>
      <w:tr w14:paraId="2A577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0C72A729">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w:t>
            </w:r>
          </w:p>
        </w:tc>
        <w:tc>
          <w:tcPr>
            <w:tcW w:w="1691" w:type="pct"/>
          </w:tcPr>
          <w:p w14:paraId="54B2A69D">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农安县</w:t>
            </w:r>
          </w:p>
        </w:tc>
        <w:tc>
          <w:tcPr>
            <w:tcW w:w="1617" w:type="pct"/>
            <w:vAlign w:val="center"/>
          </w:tcPr>
          <w:p w14:paraId="0CBF7703">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82</w:t>
            </w:r>
          </w:p>
        </w:tc>
      </w:tr>
      <w:tr w14:paraId="39038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53D49131">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6</w:t>
            </w:r>
          </w:p>
        </w:tc>
        <w:tc>
          <w:tcPr>
            <w:tcW w:w="1691" w:type="pct"/>
          </w:tcPr>
          <w:p w14:paraId="1AE51292">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吉林市本级</w:t>
            </w:r>
          </w:p>
        </w:tc>
        <w:tc>
          <w:tcPr>
            <w:tcW w:w="1617" w:type="pct"/>
            <w:vAlign w:val="center"/>
          </w:tcPr>
          <w:p w14:paraId="5C60647A">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0.03</w:t>
            </w:r>
          </w:p>
        </w:tc>
      </w:tr>
      <w:tr w14:paraId="46C18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063DAD53">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7</w:t>
            </w:r>
          </w:p>
        </w:tc>
        <w:tc>
          <w:tcPr>
            <w:tcW w:w="1691" w:type="pct"/>
          </w:tcPr>
          <w:p w14:paraId="5D069456">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四平市本级</w:t>
            </w:r>
          </w:p>
        </w:tc>
        <w:tc>
          <w:tcPr>
            <w:tcW w:w="1617" w:type="pct"/>
            <w:vAlign w:val="center"/>
          </w:tcPr>
          <w:p w14:paraId="31C6D43B">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0.31</w:t>
            </w:r>
          </w:p>
        </w:tc>
      </w:tr>
      <w:tr w14:paraId="27103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07A6FAD3">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8</w:t>
            </w:r>
          </w:p>
        </w:tc>
        <w:tc>
          <w:tcPr>
            <w:tcW w:w="1691" w:type="pct"/>
          </w:tcPr>
          <w:p w14:paraId="44A7E8CD">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梨树县</w:t>
            </w:r>
          </w:p>
        </w:tc>
        <w:tc>
          <w:tcPr>
            <w:tcW w:w="1617" w:type="pct"/>
            <w:vAlign w:val="center"/>
          </w:tcPr>
          <w:p w14:paraId="4A8592BF">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60</w:t>
            </w:r>
          </w:p>
        </w:tc>
      </w:tr>
      <w:tr w14:paraId="5B986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522C4C29">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9</w:t>
            </w:r>
          </w:p>
        </w:tc>
        <w:tc>
          <w:tcPr>
            <w:tcW w:w="1691" w:type="pct"/>
          </w:tcPr>
          <w:p w14:paraId="54A19188">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伊通县</w:t>
            </w:r>
          </w:p>
        </w:tc>
        <w:tc>
          <w:tcPr>
            <w:tcW w:w="1617" w:type="pct"/>
            <w:vAlign w:val="center"/>
          </w:tcPr>
          <w:p w14:paraId="4BB61410">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20</w:t>
            </w:r>
          </w:p>
        </w:tc>
      </w:tr>
      <w:tr w14:paraId="6E83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19919F4A">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10</w:t>
            </w:r>
          </w:p>
        </w:tc>
        <w:tc>
          <w:tcPr>
            <w:tcW w:w="1691" w:type="pct"/>
          </w:tcPr>
          <w:p w14:paraId="038D57B0">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柳河县</w:t>
            </w:r>
          </w:p>
        </w:tc>
        <w:tc>
          <w:tcPr>
            <w:tcW w:w="1617" w:type="pct"/>
            <w:vAlign w:val="center"/>
          </w:tcPr>
          <w:p w14:paraId="6D255B06">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0.01</w:t>
            </w:r>
          </w:p>
        </w:tc>
      </w:tr>
      <w:tr w14:paraId="25366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65FE5E55">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11</w:t>
            </w:r>
          </w:p>
        </w:tc>
        <w:tc>
          <w:tcPr>
            <w:tcW w:w="1691" w:type="pct"/>
          </w:tcPr>
          <w:p w14:paraId="5FACF8BC">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辉南县</w:t>
            </w:r>
          </w:p>
        </w:tc>
        <w:tc>
          <w:tcPr>
            <w:tcW w:w="1617" w:type="pct"/>
            <w:vAlign w:val="center"/>
          </w:tcPr>
          <w:p w14:paraId="6BC6AB3E">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0.01</w:t>
            </w:r>
          </w:p>
        </w:tc>
      </w:tr>
      <w:tr w14:paraId="31C6D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1BF20193">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12</w:t>
            </w:r>
          </w:p>
        </w:tc>
        <w:tc>
          <w:tcPr>
            <w:tcW w:w="1691" w:type="pct"/>
          </w:tcPr>
          <w:p w14:paraId="5A6F400D">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大安市</w:t>
            </w:r>
          </w:p>
        </w:tc>
        <w:tc>
          <w:tcPr>
            <w:tcW w:w="1617" w:type="pct"/>
            <w:vAlign w:val="center"/>
          </w:tcPr>
          <w:p w14:paraId="2A89F04B">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82.37</w:t>
            </w:r>
          </w:p>
        </w:tc>
      </w:tr>
      <w:tr w14:paraId="13716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2E1471D7">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13</w:t>
            </w:r>
          </w:p>
        </w:tc>
        <w:tc>
          <w:tcPr>
            <w:tcW w:w="1691" w:type="pct"/>
          </w:tcPr>
          <w:p w14:paraId="539E01AA">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镇赉县</w:t>
            </w:r>
          </w:p>
        </w:tc>
        <w:tc>
          <w:tcPr>
            <w:tcW w:w="1617" w:type="pct"/>
            <w:vAlign w:val="center"/>
          </w:tcPr>
          <w:p w14:paraId="37BA03CD">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47.77</w:t>
            </w:r>
          </w:p>
        </w:tc>
      </w:tr>
      <w:tr w14:paraId="3240D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62F13C27">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14</w:t>
            </w:r>
          </w:p>
        </w:tc>
        <w:tc>
          <w:tcPr>
            <w:tcW w:w="1691" w:type="pct"/>
          </w:tcPr>
          <w:p w14:paraId="6C1702D9">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前郭县</w:t>
            </w:r>
          </w:p>
        </w:tc>
        <w:tc>
          <w:tcPr>
            <w:tcW w:w="1617" w:type="pct"/>
            <w:vAlign w:val="center"/>
          </w:tcPr>
          <w:p w14:paraId="337D6009">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76.93</w:t>
            </w:r>
          </w:p>
        </w:tc>
      </w:tr>
      <w:tr w14:paraId="35A0E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0BF0C6BC">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15</w:t>
            </w:r>
          </w:p>
        </w:tc>
        <w:tc>
          <w:tcPr>
            <w:tcW w:w="1691" w:type="pct"/>
          </w:tcPr>
          <w:p w14:paraId="23EC09F2">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长岭县</w:t>
            </w:r>
          </w:p>
        </w:tc>
        <w:tc>
          <w:tcPr>
            <w:tcW w:w="1617" w:type="pct"/>
            <w:vAlign w:val="center"/>
          </w:tcPr>
          <w:p w14:paraId="36B1FC19">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108.41</w:t>
            </w:r>
          </w:p>
        </w:tc>
      </w:tr>
      <w:tr w14:paraId="4895E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1" w:type="pct"/>
          </w:tcPr>
          <w:p w14:paraId="6E0B442F">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16</w:t>
            </w:r>
          </w:p>
        </w:tc>
        <w:tc>
          <w:tcPr>
            <w:tcW w:w="1691" w:type="pct"/>
          </w:tcPr>
          <w:p w14:paraId="23B6ADEF">
            <w:pPr>
              <w:pStyle w:val="16"/>
              <w:autoSpaceDN w:val="0"/>
              <w:spacing w:line="600" w:lineRule="exact"/>
              <w:jc w:val="center"/>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乾安县</w:t>
            </w:r>
          </w:p>
        </w:tc>
        <w:tc>
          <w:tcPr>
            <w:tcW w:w="1617" w:type="pct"/>
            <w:vAlign w:val="center"/>
          </w:tcPr>
          <w:p w14:paraId="48F34405">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21.5</w:t>
            </w:r>
          </w:p>
        </w:tc>
      </w:tr>
      <w:tr w14:paraId="260B8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2" w:type="pct"/>
            <w:gridSpan w:val="2"/>
          </w:tcPr>
          <w:p w14:paraId="543226EA">
            <w:pPr>
              <w:pStyle w:val="16"/>
              <w:autoSpaceDN w:val="0"/>
              <w:spacing w:line="600" w:lineRule="exact"/>
              <w:jc w:val="center"/>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全省</w:t>
            </w:r>
          </w:p>
        </w:tc>
        <w:tc>
          <w:tcPr>
            <w:tcW w:w="1617" w:type="pct"/>
            <w:vAlign w:val="center"/>
          </w:tcPr>
          <w:p w14:paraId="08F8F38C">
            <w:pPr>
              <w:pStyle w:val="16"/>
              <w:autoSpaceDN w:val="0"/>
              <w:spacing w:line="600" w:lineRule="exact"/>
              <w:jc w:val="center"/>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660.1</w:t>
            </w:r>
          </w:p>
        </w:tc>
      </w:tr>
    </w:tbl>
    <w:p w14:paraId="5E027450">
      <w:pPr>
        <w:pStyle w:val="16"/>
        <w:pBdr>
          <w:top w:val="none" w:color="000000" w:sz="0" w:space="0"/>
          <w:left w:val="none" w:color="000000" w:sz="0" w:space="0"/>
          <w:bottom w:val="none" w:color="000000" w:sz="0" w:space="29"/>
          <w:right w:val="none" w:color="000000" w:sz="0" w:space="10"/>
        </w:pBdr>
        <w:autoSpaceDN w:val="0"/>
        <w:spacing w:line="600" w:lineRule="exact"/>
        <w:jc w:val="both"/>
        <w:rPr>
          <w:rFonts w:hint="default" w:ascii="Times New Roman" w:hAnsi="Times New Roman" w:eastAsia="仿宋_GB2312" w:cs="Times New Roman"/>
          <w:sz w:val="32"/>
          <w:szCs w:val="32"/>
          <w:highlight w:val="none"/>
        </w:rPr>
      </w:pPr>
    </w:p>
    <w:sectPr>
      <w:pgSz w:w="11906" w:h="16838"/>
      <w:pgMar w:top="1701" w:right="1417" w:bottom="1701" w:left="141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02DDC">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741E8E">
                          <w:pPr>
                            <w:pStyle w:val="4"/>
                            <w:rPr>
                              <w:rFonts w:ascii="仿宋_GB2312" w:hAnsi="仿宋_GB2312" w:eastAsia="仿宋_GB2312" w:cs="仿宋_GB2312"/>
                              <w:color w:val="000000"/>
                            </w:rPr>
                          </w:pPr>
                          <w:r>
                            <w:rPr>
                              <w:rFonts w:ascii="仿宋_GB2312" w:hAnsi="仿宋_GB2312" w:eastAsia="仿宋_GB2312" w:cs="仿宋_GB2312"/>
                              <w:color w:val="000000"/>
                            </w:rPr>
                            <w:fldChar w:fldCharType="begin"/>
                          </w:r>
                          <w:r>
                            <w:rPr>
                              <w:rFonts w:ascii="仿宋_GB2312" w:hAnsi="仿宋_GB2312" w:eastAsia="仿宋_GB2312" w:cs="仿宋_GB2312"/>
                              <w:color w:val="000000"/>
                            </w:rPr>
                            <w:instrText xml:space="preserve"> PAGE  \* MERGEFORMAT </w:instrText>
                          </w:r>
                          <w:r>
                            <w:rPr>
                              <w:rFonts w:ascii="仿宋_GB2312" w:hAnsi="仿宋_GB2312" w:eastAsia="仿宋_GB2312" w:cs="仿宋_GB2312"/>
                              <w:color w:val="000000"/>
                            </w:rPr>
                            <w:fldChar w:fldCharType="separate"/>
                          </w:r>
                          <w:r>
                            <w:rPr>
                              <w:rFonts w:ascii="仿宋_GB2312" w:hAnsi="仿宋_GB2312" w:eastAsia="仿宋_GB2312" w:cs="仿宋_GB2312"/>
                              <w:color w:val="000000"/>
                            </w:rPr>
                            <w:t>10</w:t>
                          </w:r>
                          <w:r>
                            <w:rPr>
                              <w:rFonts w:ascii="仿宋_GB2312" w:hAnsi="仿宋_GB2312" w:eastAsia="仿宋_GB2312" w:cs="仿宋_GB2312"/>
                              <w:color w:val="00000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34741E8E">
                    <w:pPr>
                      <w:pStyle w:val="4"/>
                      <w:rPr>
                        <w:rFonts w:ascii="仿宋_GB2312" w:hAnsi="仿宋_GB2312" w:eastAsia="仿宋_GB2312" w:cs="仿宋_GB2312"/>
                        <w:color w:val="000000"/>
                      </w:rPr>
                    </w:pPr>
                    <w:r>
                      <w:rPr>
                        <w:rFonts w:ascii="仿宋_GB2312" w:hAnsi="仿宋_GB2312" w:eastAsia="仿宋_GB2312" w:cs="仿宋_GB2312"/>
                        <w:color w:val="000000"/>
                      </w:rPr>
                      <w:fldChar w:fldCharType="begin"/>
                    </w:r>
                    <w:r>
                      <w:rPr>
                        <w:rFonts w:ascii="仿宋_GB2312" w:hAnsi="仿宋_GB2312" w:eastAsia="仿宋_GB2312" w:cs="仿宋_GB2312"/>
                        <w:color w:val="000000"/>
                      </w:rPr>
                      <w:instrText xml:space="preserve"> PAGE  \* MERGEFORMAT </w:instrText>
                    </w:r>
                    <w:r>
                      <w:rPr>
                        <w:rFonts w:ascii="仿宋_GB2312" w:hAnsi="仿宋_GB2312" w:eastAsia="仿宋_GB2312" w:cs="仿宋_GB2312"/>
                        <w:color w:val="000000"/>
                      </w:rPr>
                      <w:fldChar w:fldCharType="separate"/>
                    </w:r>
                    <w:r>
                      <w:rPr>
                        <w:rFonts w:ascii="仿宋_GB2312" w:hAnsi="仿宋_GB2312" w:eastAsia="仿宋_GB2312" w:cs="仿宋_GB2312"/>
                        <w:color w:val="000000"/>
                      </w:rPr>
                      <w:t>10</w:t>
                    </w:r>
                    <w:r>
                      <w:rPr>
                        <w:rFonts w:ascii="仿宋_GB2312" w:hAnsi="仿宋_GB2312" w:eastAsia="仿宋_GB2312" w:cs="仿宋_GB2312"/>
                        <w:color w:val="000000"/>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0A7666"/>
    <w:rsid w:val="00060AAA"/>
    <w:rsid w:val="00145790"/>
    <w:rsid w:val="0015349F"/>
    <w:rsid w:val="00177EDE"/>
    <w:rsid w:val="001C4BFD"/>
    <w:rsid w:val="002963C5"/>
    <w:rsid w:val="002D1930"/>
    <w:rsid w:val="004856F2"/>
    <w:rsid w:val="004C5F2F"/>
    <w:rsid w:val="006651E3"/>
    <w:rsid w:val="00691122"/>
    <w:rsid w:val="006A2EFF"/>
    <w:rsid w:val="006D6719"/>
    <w:rsid w:val="00752A7E"/>
    <w:rsid w:val="008158EB"/>
    <w:rsid w:val="009237DC"/>
    <w:rsid w:val="00941A85"/>
    <w:rsid w:val="00955712"/>
    <w:rsid w:val="009C3E29"/>
    <w:rsid w:val="00A77C2F"/>
    <w:rsid w:val="00AC5D19"/>
    <w:rsid w:val="00B04BCE"/>
    <w:rsid w:val="00BD394C"/>
    <w:rsid w:val="00C327D6"/>
    <w:rsid w:val="00C46F5A"/>
    <w:rsid w:val="00C57CB4"/>
    <w:rsid w:val="00D7759F"/>
    <w:rsid w:val="00DA31F1"/>
    <w:rsid w:val="00E30061"/>
    <w:rsid w:val="00EE18C5"/>
    <w:rsid w:val="00F45F95"/>
    <w:rsid w:val="00F63DBC"/>
    <w:rsid w:val="00FD4C30"/>
    <w:rsid w:val="00FE562A"/>
    <w:rsid w:val="023C288C"/>
    <w:rsid w:val="049A6C21"/>
    <w:rsid w:val="06014EFC"/>
    <w:rsid w:val="08E30270"/>
    <w:rsid w:val="09457A44"/>
    <w:rsid w:val="0B7567ED"/>
    <w:rsid w:val="0D672635"/>
    <w:rsid w:val="11FB60E1"/>
    <w:rsid w:val="120538FB"/>
    <w:rsid w:val="166F2500"/>
    <w:rsid w:val="17A07DB5"/>
    <w:rsid w:val="19090437"/>
    <w:rsid w:val="1AC31AC4"/>
    <w:rsid w:val="1C1C7D6C"/>
    <w:rsid w:val="1E5A368F"/>
    <w:rsid w:val="2311409C"/>
    <w:rsid w:val="28092CBD"/>
    <w:rsid w:val="289044FE"/>
    <w:rsid w:val="2B01581B"/>
    <w:rsid w:val="2C66605B"/>
    <w:rsid w:val="2CF51881"/>
    <w:rsid w:val="33617581"/>
    <w:rsid w:val="3418150B"/>
    <w:rsid w:val="367726CB"/>
    <w:rsid w:val="398E1B16"/>
    <w:rsid w:val="3D6A62BF"/>
    <w:rsid w:val="3E7303EA"/>
    <w:rsid w:val="408815B1"/>
    <w:rsid w:val="442E6D95"/>
    <w:rsid w:val="472A7306"/>
    <w:rsid w:val="4BFBD736"/>
    <w:rsid w:val="4DEF230B"/>
    <w:rsid w:val="4E591E2C"/>
    <w:rsid w:val="4FDC32A3"/>
    <w:rsid w:val="501006BD"/>
    <w:rsid w:val="50665117"/>
    <w:rsid w:val="5329006C"/>
    <w:rsid w:val="56E56CA1"/>
    <w:rsid w:val="57811184"/>
    <w:rsid w:val="596F667C"/>
    <w:rsid w:val="59744CD8"/>
    <w:rsid w:val="5BA56F9C"/>
    <w:rsid w:val="5D2262F8"/>
    <w:rsid w:val="5D672A8A"/>
    <w:rsid w:val="5E7DB272"/>
    <w:rsid w:val="5F43214A"/>
    <w:rsid w:val="604A6516"/>
    <w:rsid w:val="61A60ADB"/>
    <w:rsid w:val="624A6E83"/>
    <w:rsid w:val="63CD7029"/>
    <w:rsid w:val="65366619"/>
    <w:rsid w:val="668922D2"/>
    <w:rsid w:val="67DE231F"/>
    <w:rsid w:val="6A042842"/>
    <w:rsid w:val="6A6318A7"/>
    <w:rsid w:val="6C9216C9"/>
    <w:rsid w:val="72BA43E6"/>
    <w:rsid w:val="73C9280F"/>
    <w:rsid w:val="77362818"/>
    <w:rsid w:val="77E6725E"/>
    <w:rsid w:val="77E97FE7"/>
    <w:rsid w:val="7D0A7666"/>
    <w:rsid w:val="7DFD4752"/>
    <w:rsid w:val="7E4310B5"/>
    <w:rsid w:val="7E802116"/>
    <w:rsid w:val="7EDE4801"/>
    <w:rsid w:val="7FC85EB2"/>
    <w:rsid w:val="B7F7A256"/>
    <w:rsid w:val="E65E894E"/>
    <w:rsid w:val="F1CD8742"/>
    <w:rsid w:val="FDFDDC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99" w:semiHidden="0" w:name="heading 1"/>
    <w:lsdException w:uiPriority="99"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nhideWhenUsed="0" w:uiPriority="99" w:semiHidden="0" w:name="index 1"/>
    <w:lsdException w:unhideWhenUsed="0" w:uiPriority="99" w:semiHidden="0" w:name="index 2"/>
    <w:lsdException w:unhideWhenUsed="0" w:uiPriority="99" w:semiHidden="0" w:name="index 3"/>
    <w:lsdException w:unhideWhenUsed="0" w:uiPriority="99" w:semiHidden="0" w:name="index 4"/>
    <w:lsdException w:unhideWhenUsed="0" w:uiPriority="99" w:semiHidden="0" w:name="index 5"/>
    <w:lsdException w:unhideWhenUsed="0" w:uiPriority="99" w:semiHidden="0" w:name="index 6"/>
    <w:lsdException w:unhideWhenUsed="0" w:uiPriority="99" w:semiHidden="0" w:name="index 7"/>
    <w:lsdException w:unhideWhenUsed="0" w:uiPriority="99" w:semiHidden="0" w:name="index 8"/>
    <w:lsdException w:unhideWhenUsed="0" w:uiPriority="99" w:semiHidden="0" w:name="index 9"/>
    <w:lsdException w:unhideWhenUsed="0" w:uiPriority="99" w:semiHidden="0" w:name="toc 1"/>
    <w:lsdException w:unhideWhenUsed="0" w:uiPriority="99" w:semiHidden="0" w:name="toc 2"/>
    <w:lsdException w:unhideWhenUsed="0" w:uiPriority="99" w:semiHidden="0" w:name="toc 3"/>
    <w:lsdException w:unhideWhenUsed="0" w:uiPriority="99" w:semiHidden="0" w:name="toc 4"/>
    <w:lsdException w:unhideWhenUsed="0" w:uiPriority="99" w:semiHidden="0" w:name="toc 5"/>
    <w:lsdException w:unhideWhenUsed="0" w:uiPriority="99" w:semiHidden="0" w:name="toc 6"/>
    <w:lsdException w:unhideWhenUsed="0" w:uiPriority="99" w:semiHidden="0" w:name="toc 7"/>
    <w:lsdException w:unhideWhenUsed="0" w:uiPriority="99" w:semiHidden="0" w:name="toc 8"/>
    <w:lsdException w:unhideWhenUsed="0" w:uiPriority="99" w:semiHidden="0" w:name="toc 9"/>
    <w:lsdException w:unhideWhenUsed="0" w:uiPriority="99" w:semiHidden="0" w:name="Normal Indent"/>
    <w:lsdException w:unhideWhenUsed="0" w:uiPriority="99" w:semiHidden="0" w:name="footnote text"/>
    <w:lsdException w:unhideWhenUsed="0" w:uiPriority="99" w:semiHidden="0" w:name="annotation text"/>
    <w:lsdException w:qFormat="1" w:unhideWhenUsed="0" w:uiPriority="0" w:semiHidden="0" w:name="header"/>
    <w:lsdException w:qFormat="1" w:unhideWhenUsed="0" w:uiPriority="0" w:semiHidden="0" w:name="footer"/>
    <w:lsdException w:unhideWhenUsed="0" w:uiPriority="99" w:semiHidden="0" w:name="index heading"/>
    <w:lsdException w:uiPriority="99" w:name="caption"/>
    <w:lsdException w:unhideWhenUsed="0" w:uiPriority="99" w:semiHidden="0" w:name="table of figures"/>
    <w:lsdException w:unhideWhenUsed="0" w:uiPriority="99" w:semiHidden="0" w:name="envelope address"/>
    <w:lsdException w:unhideWhenUsed="0" w:uiPriority="99" w:semiHidden="0" w:name="envelope return"/>
    <w:lsdException w:unhideWhenUsed="0" w:uiPriority="99" w:semiHidden="0" w:name="footnote reference"/>
    <w:lsdException w:unhideWhenUsed="0" w:uiPriority="99" w:semiHidden="0" w:name="annotation reference"/>
    <w:lsdException w:unhideWhenUsed="0" w:uiPriority="99" w:semiHidden="0" w:name="line number"/>
    <w:lsdException w:unhideWhenUsed="0" w:uiPriority="99" w:semiHidden="0" w:name="page number"/>
    <w:lsdException w:unhideWhenUsed="0" w:uiPriority="99" w:semiHidden="0" w:name="endnote reference"/>
    <w:lsdException w:unhideWhenUsed="0" w:uiPriority="99" w:semiHidden="0" w:name="endnote text"/>
    <w:lsdException w:unhideWhenUsed="0" w:uiPriority="99" w:semiHidden="0" w:name="table of authorities"/>
    <w:lsdException w:unhideWhenUsed="0" w:uiPriority="99" w:semiHidden="0" w:name="macro"/>
    <w:lsdException w:unhideWhenUsed="0" w:uiPriority="99" w:semiHidden="0" w:name="toa heading"/>
    <w:lsdException w:unhideWhenUsed="0" w:uiPriority="99" w:semiHidden="0" w:name="List"/>
    <w:lsdException w:unhideWhenUsed="0" w:uiPriority="99" w:semiHidden="0" w:name="List Bullet"/>
    <w:lsdException w:unhideWhenUsed="0" w:uiPriority="99" w:semiHidden="0" w:name="List Number"/>
    <w:lsdException w:unhideWhenUsed="0" w:uiPriority="99" w:semiHidden="0" w:name="List 2"/>
    <w:lsdException w:unhideWhenUsed="0" w:uiPriority="99" w:semiHidden="0"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unhideWhenUsed="0" w:uiPriority="99" w:semiHidden="0" w:name="Title"/>
    <w:lsdException w:unhideWhenUsed="0" w:uiPriority="99" w:semiHidden="0" w:name="Closing"/>
    <w:lsdException w:unhideWhenUsed="0" w:uiPriority="99" w:semiHidden="0" w:name="Signature"/>
    <w:lsdException w:qFormat="1" w:uiPriority="1" w:name="Default Paragraph Font"/>
    <w:lsdException w:qFormat="1" w:unhideWhenUsed="0" w:uiPriority="0" w:semiHidden="0" w:name="Body Text"/>
    <w:lsdException w:unhideWhenUsed="0" w:uiPriority="99" w:semiHidden="0" w:name="Body Text Indent"/>
    <w:lsdException w:unhideWhenUsed="0" w:uiPriority="99" w:semiHidden="0" w:name="List Continue"/>
    <w:lsdException w:unhideWhenUsed="0" w:uiPriority="99" w:semiHidden="0" w:name="List Continue 2"/>
    <w:lsdException w:unhideWhenUsed="0" w:uiPriority="99" w:semiHidden="0" w:name="List Continue 3"/>
    <w:lsdException w:unhideWhenUsed="0" w:uiPriority="99" w:semiHidden="0" w:name="List Continue 4"/>
    <w:lsdException w:unhideWhenUsed="0" w:uiPriority="99" w:semiHidden="0" w:name="List Continue 5"/>
    <w:lsdException w:unhideWhenUsed="0" w:uiPriority="99" w:semiHidden="0" w:name="Message Header"/>
    <w:lsdException w:unhideWhenUsed="0" w:uiPriority="99" w:semiHidden="0" w:name="Subtitle"/>
    <w:lsdException w:unhideWhenUsed="0" w:uiPriority="99" w:semiHidden="0" w:name="Salutation"/>
    <w:lsdException w:unhideWhenUsed="0" w:uiPriority="99" w:semiHidden="0" w:name="Date"/>
    <w:lsdException w:unhideWhenUsed="0" w:uiPriority="99" w:name="Body Text First Indent"/>
    <w:lsdException w:unhideWhenUsed="0" w:uiPriority="99" w:semiHidden="0" w:name="Body Text First Indent 2"/>
    <w:lsdException w:unhideWhenUsed="0" w:uiPriority="99" w:semiHidden="0" w:name="Note Heading"/>
    <w:lsdException w:qFormat="1" w:uiPriority="0" w:semiHidden="0" w:name="Body Text 2"/>
    <w:lsdException w:unhideWhenUsed="0" w:uiPriority="99" w:semiHidden="0" w:name="Body Text 3"/>
    <w:lsdException w:unhideWhenUsed="0" w:uiPriority="99" w:semiHidden="0" w:name="Body Text Indent 2"/>
    <w:lsdException w:unhideWhenUsed="0" w:uiPriority="99" w:semiHidden="0" w:name="Body Text Indent 3"/>
    <w:lsdException w:unhideWhenUsed="0" w:uiPriority="99" w:semiHidden="0" w:name="Block Text"/>
    <w:lsdException w:unhideWhenUsed="0" w:uiPriority="99" w:semiHidden="0" w:name="Hyperlink"/>
    <w:lsdException w:unhideWhenUsed="0" w:uiPriority="99" w:semiHidden="0" w:name="FollowedHyperlink"/>
    <w:lsdException w:unhideWhenUsed="0" w:uiPriority="99" w:semiHidden="0" w:name="Strong"/>
    <w:lsdException w:unhideWhenUsed="0" w:uiPriority="99" w:semiHidden="0" w:name="Emphasis"/>
    <w:lsdException w:unhideWhenUsed="0" w:uiPriority="99" w:semiHidden="0" w:name="Document Map"/>
    <w:lsdException w:unhideWhenUsed="0" w:uiPriority="99" w:semiHidden="0" w:name="Plain Text"/>
    <w:lsdException w:unhideWhenUsed="0" w:uiPriority="99" w:semiHidden="0" w:name="E-mail Signature"/>
    <w:lsdException w:unhideWhenUsed="0" w:uiPriority="99" w:semiHidden="0" w:name="Normal (Web)"/>
    <w:lsdException w:unhideWhenUsed="0" w:uiPriority="99" w:semiHidden="0" w:name="HTML Acronym"/>
    <w:lsdException w:unhideWhenUsed="0" w:uiPriority="99" w:semiHidden="0" w:name="HTML Address"/>
    <w:lsdException w:unhideWhenUsed="0" w:uiPriority="99" w:semiHidden="0" w:name="HTML Cite"/>
    <w:lsdException w:unhideWhenUsed="0" w:uiPriority="99" w:semiHidden="0" w:name="HTML Code"/>
    <w:lsdException w:unhideWhenUsed="0" w:uiPriority="99" w:semiHidden="0" w:name="HTML Definition"/>
    <w:lsdException w:unhideWhenUsed="0" w:uiPriority="99" w:semiHidden="0" w:name="HTML Keyboard"/>
    <w:lsdException w:qFormat="1" w:unhideWhenUsed="0" w:uiPriority="0" w:semiHidden="0" w:name="HTML Preformatted"/>
    <w:lsdException w:unhideWhenUsed="0" w:uiPriority="99" w:semiHidden="0" w:name="HTML Sample"/>
    <w:lsdException w:unhideWhenUsed="0" w:uiPriority="99" w:semiHidden="0" w:name="HTML Typewriter"/>
    <w:lsdException w:unhideWhenUsed="0" w:uiPriority="99" w:semiHidden="0" w:name="HTML Variable"/>
    <w:lsdException w:qFormat="1" w:uiPriority="99" w:name="Normal Table"/>
    <w:lsdException w:unhideWhenUsed="0" w:uiPriority="99" w:semiHidden="0" w:name="annotation subject"/>
    <w:lsdException w:unhideWhenUsed="0" w:uiPriority="99" w:semiHidden="0" w:name="Table Simple 1"/>
    <w:lsdException w:unhideWhenUsed="0" w:uiPriority="99" w:semiHidden="0" w:name="Table Simple 2"/>
    <w:lsdException w:unhideWhenUsed="0" w:uiPriority="99" w:semiHidden="0" w:name="Table Simple 3"/>
    <w:lsdException w:unhideWhenUsed="0" w:uiPriority="99" w:semiHidden="0" w:name="Table Classic 1"/>
    <w:lsdException w:unhideWhenUsed="0" w:uiPriority="99" w:semiHidden="0" w:name="Table Classic 2"/>
    <w:lsdException w:unhideWhenUsed="0" w:uiPriority="99" w:semiHidden="0" w:name="Table Classic 3"/>
    <w:lsdException w:unhideWhenUsed="0" w:uiPriority="99" w:semiHidden="0" w:name="Table Classic 4"/>
    <w:lsdException w:unhideWhenUsed="0" w:uiPriority="99" w:semiHidden="0" w:name="Table Colorful 1"/>
    <w:lsdException w:unhideWhenUsed="0" w:uiPriority="99" w:semiHidden="0" w:name="Table Colorful 2"/>
    <w:lsdException w:unhideWhenUsed="0" w:uiPriority="99" w:semiHidden="0" w:name="Table Colorful 3"/>
    <w:lsdException w:unhideWhenUsed="0" w:uiPriority="99" w:semiHidden="0" w:name="Table Columns 1"/>
    <w:lsdException w:unhideWhenUsed="0" w:uiPriority="99" w:semiHidden="0" w:name="Table Columns 2"/>
    <w:lsdException w:unhideWhenUsed="0" w:uiPriority="99" w:semiHidden="0" w:name="Table Columns 3"/>
    <w:lsdException w:unhideWhenUsed="0" w:uiPriority="99" w:semiHidden="0" w:name="Table Columns 4"/>
    <w:lsdException w:unhideWhenUsed="0" w:uiPriority="99" w:semiHidden="0" w:name="Table Columns 5"/>
    <w:lsdException w:unhideWhenUsed="0" w:uiPriority="99" w:semiHidden="0" w:name="Table Grid 1"/>
    <w:lsdException w:unhideWhenUsed="0" w:uiPriority="99" w:semiHidden="0" w:name="Table Grid 2"/>
    <w:lsdException w:unhideWhenUsed="0" w:uiPriority="99" w:semiHidden="0" w:name="Table Grid 3"/>
    <w:lsdException w:unhideWhenUsed="0" w:uiPriority="99" w:semiHidden="0" w:name="Table Grid 4"/>
    <w:lsdException w:unhideWhenUsed="0" w:uiPriority="99" w:semiHidden="0" w:name="Table Grid 5"/>
    <w:lsdException w:unhideWhenUsed="0" w:uiPriority="99" w:semiHidden="0" w:name="Table Grid 6"/>
    <w:lsdException w:unhideWhenUsed="0" w:uiPriority="99" w:semiHidden="0" w:name="Table Grid 7"/>
    <w:lsdException w:unhideWhenUsed="0" w:uiPriority="99" w:semiHidden="0" w:name="Table Grid 8"/>
    <w:lsdException w:unhideWhenUsed="0" w:uiPriority="99" w:semiHidden="0" w:name="Table List 1"/>
    <w:lsdException w:unhideWhenUsed="0" w:uiPriority="99" w:semiHidden="0" w:name="Table List 2"/>
    <w:lsdException w:unhideWhenUsed="0" w:uiPriority="99" w:semiHidden="0" w:name="Table List 3"/>
    <w:lsdException w:unhideWhenUsed="0" w:uiPriority="99" w:semiHidden="0" w:name="Table List 4"/>
    <w:lsdException w:unhideWhenUsed="0" w:uiPriority="99" w:semiHidden="0" w:name="Table List 5"/>
    <w:lsdException w:unhideWhenUsed="0" w:uiPriority="99" w:semiHidden="0" w:name="Table List 6"/>
    <w:lsdException w:unhideWhenUsed="0" w:uiPriority="99" w:semiHidden="0" w:name="Table List 7"/>
    <w:lsdException w:unhideWhenUsed="0" w:uiPriority="99" w:semiHidden="0" w:name="Table List 8"/>
    <w:lsdException w:unhideWhenUsed="0" w:uiPriority="99" w:semiHidden="0" w:name="Table 3D effects 1"/>
    <w:lsdException w:unhideWhenUsed="0" w:uiPriority="99" w:semiHidden="0" w:name="Table 3D effects 2"/>
    <w:lsdException w:unhideWhenUsed="0" w:uiPriority="99" w:semiHidden="0" w:name="Table 3D effects 3"/>
    <w:lsdException w:unhideWhenUsed="0" w:uiPriority="99" w:semiHidden="0" w:name="Table Contemporary"/>
    <w:lsdException w:unhideWhenUsed="0" w:uiPriority="99" w:semiHidden="0" w:name="Table Elegant"/>
    <w:lsdException w:unhideWhenUsed="0" w:uiPriority="99" w:semiHidden="0" w:name="Table Professional"/>
    <w:lsdException w:unhideWhenUsed="0" w:uiPriority="99" w:semiHidden="0" w:name="Table Subtle 1"/>
    <w:lsdException w:unhideWhenUsed="0" w:uiPriority="99" w:semiHidden="0" w:name="Table Subtle 2"/>
    <w:lsdException w:unhideWhenUsed="0" w:uiPriority="99" w:semiHidden="0" w:name="Table Web 1"/>
    <w:lsdException w:unhideWhenUsed="0" w:uiPriority="99" w:semiHidden="0" w:name="Table Web 2"/>
    <w:lsdException w:unhideWhenUsed="0" w:uiPriority="99" w:semiHidden="0" w:name="Table Web 3"/>
    <w:lsdException w:qFormat="1" w:unhideWhenUsed="0" w:uiPriority="0" w:semiHidden="0" w:name="Balloon Text"/>
    <w:lsdException w:qFormat="1" w:unhideWhenUsed="0" w:uiPriority="0"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after="120"/>
    </w:pPr>
    <w:rPr>
      <w:sz w:val="36"/>
      <w:szCs w:val="36"/>
    </w:rPr>
  </w:style>
  <w:style w:type="paragraph" w:styleId="3">
    <w:name w:val="Balloon Text"/>
    <w:basedOn w:val="1"/>
    <w:link w:val="17"/>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2"/>
    <w:basedOn w:val="1"/>
    <w:unhideWhenUsed/>
    <w:qFormat/>
    <w:uiPriority w:val="0"/>
    <w:pPr>
      <w:spacing w:after="120" w:line="480" w:lineRule="auto"/>
    </w:p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TableOfAuthoring"/>
    <w:basedOn w:val="1"/>
    <w:qFormat/>
    <w:uiPriority w:val="0"/>
    <w:pPr>
      <w:ind w:left="420" w:leftChars="200"/>
    </w:pPr>
    <w:rPr>
      <w:sz w:val="32"/>
    </w:rPr>
  </w:style>
  <w:style w:type="character" w:customStyle="1" w:styleId="12">
    <w:name w:val="font71"/>
    <w:basedOn w:val="10"/>
    <w:qFormat/>
    <w:uiPriority w:val="0"/>
    <w:rPr>
      <w:rFonts w:hint="eastAsia" w:ascii="宋体" w:hAnsi="宋体" w:eastAsia="宋体" w:cs="宋体"/>
      <w:b/>
      <w:bCs/>
      <w:color w:val="000000"/>
      <w:sz w:val="22"/>
      <w:szCs w:val="22"/>
      <w:u w:val="none"/>
    </w:rPr>
  </w:style>
  <w:style w:type="character" w:customStyle="1" w:styleId="13">
    <w:name w:val="font31"/>
    <w:basedOn w:val="10"/>
    <w:qFormat/>
    <w:uiPriority w:val="0"/>
    <w:rPr>
      <w:rFonts w:hint="eastAsia" w:ascii="宋体" w:hAnsi="宋体" w:eastAsia="宋体" w:cs="宋体"/>
      <w:color w:val="000000"/>
      <w:sz w:val="22"/>
      <w:szCs w:val="22"/>
      <w:u w:val="none"/>
    </w:rPr>
  </w:style>
  <w:style w:type="character" w:customStyle="1" w:styleId="14">
    <w:name w:val="font21"/>
    <w:basedOn w:val="10"/>
    <w:qFormat/>
    <w:uiPriority w:val="0"/>
    <w:rPr>
      <w:rFonts w:hint="eastAsia" w:ascii="宋体" w:hAnsi="宋体" w:eastAsia="宋体" w:cs="宋体"/>
      <w:b/>
      <w:bCs/>
      <w:color w:val="000000"/>
      <w:sz w:val="20"/>
      <w:szCs w:val="20"/>
      <w:u w:val="none"/>
    </w:rPr>
  </w:style>
  <w:style w:type="character" w:customStyle="1" w:styleId="15">
    <w:name w:val="font01"/>
    <w:basedOn w:val="10"/>
    <w:qFormat/>
    <w:uiPriority w:val="0"/>
    <w:rPr>
      <w:rFonts w:hint="eastAsia" w:ascii="宋体" w:hAnsi="宋体" w:eastAsia="宋体" w:cs="宋体"/>
      <w:b/>
      <w:bCs/>
      <w:color w:val="000000"/>
      <w:sz w:val="20"/>
      <w:szCs w:val="20"/>
      <w:u w:val="none"/>
    </w:rPr>
  </w:style>
  <w:style w:type="paragraph" w:customStyle="1" w:styleId="16">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character" w:customStyle="1" w:styleId="17">
    <w:name w:val="批注框文本 Char"/>
    <w:basedOn w:val="10"/>
    <w:link w:val="3"/>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2576</Words>
  <Characters>2667</Characters>
  <Lines>27</Lines>
  <Paragraphs>7</Paragraphs>
  <TotalTime>6</TotalTime>
  <ScaleCrop>false</ScaleCrop>
  <LinksUpToDate>false</LinksUpToDate>
  <CharactersWithSpaces>2726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2025-05-20T18:39:00Z</dcterms:created>
  <dc:creator>张楚尧</dc:creator>
  <cp:lastModifiedBy>yaya</cp:lastModifiedBy>
  <dcterms:modified xsi:type="dcterms:W3CDTF">2026-06-23T06:10:23Z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AC155CD130D7D291E1B92B6A784A02F2</vt:lpwstr>
  </property>
  <property fmtid="{D5CDD505-2E9C-101B-9397-08002B2CF9AE}" pid="4" name="KSOTemplateDocerSaveRecord">
    <vt:lpwstr>eyJoZGlkIjoiNzVkYTExOWEzNjQ0YTVkYjFmMTZlNzBlNzc3ZTM0NDEiLCJ1c2VySWQiOiIxMjExMzUyMjQ4In0=</vt:lpwstr>
  </property>
</Properties>
</file>