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7D1C43">
      <w:pPr>
        <w:pStyle w:val="3"/>
        <w:keepNext w:val="0"/>
        <w:keepLines w:val="0"/>
        <w:pageBreakBefore w:val="0"/>
        <w:widowControl w:val="0"/>
        <w:kinsoku/>
        <w:wordWrap/>
        <w:overflowPunct/>
        <w:topLinePunct w:val="0"/>
        <w:autoSpaceDE/>
        <w:autoSpaceDN/>
        <w:bidi w:val="0"/>
        <w:adjustRightInd/>
        <w:snapToGrid/>
        <w:spacing w:after="0" w:line="600" w:lineRule="exact"/>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附件1</w:t>
      </w:r>
      <w:r>
        <w:rPr>
          <w:rFonts w:hint="eastAsia" w:ascii="Times New Roman" w:hAnsi="Times New Roman" w:eastAsia="黑体" w:cs="Times New Roman"/>
          <w:sz w:val="32"/>
          <w:szCs w:val="32"/>
          <w:lang w:val="en-US" w:eastAsia="zh-CN"/>
        </w:rPr>
        <w:t>3</w:t>
      </w:r>
      <w:bookmarkStart w:id="0" w:name="_GoBack"/>
      <w:bookmarkEnd w:id="0"/>
    </w:p>
    <w:p w14:paraId="59723931">
      <w:pPr>
        <w:pStyle w:val="3"/>
        <w:keepNext w:val="0"/>
        <w:keepLines w:val="0"/>
        <w:pageBreakBefore w:val="0"/>
        <w:widowControl w:val="0"/>
        <w:kinsoku/>
        <w:wordWrap/>
        <w:overflowPunct/>
        <w:topLinePunct w:val="0"/>
        <w:autoSpaceDE/>
        <w:autoSpaceDN/>
        <w:bidi w:val="0"/>
        <w:adjustRightInd/>
        <w:snapToGrid/>
        <w:spacing w:after="0" w:line="600" w:lineRule="exact"/>
        <w:textAlignment w:val="auto"/>
        <w:rPr>
          <w:rFonts w:hint="default" w:ascii="Times New Roman" w:hAnsi="Times New Roman" w:eastAsia="黑体" w:cs="Times New Roman"/>
          <w:sz w:val="32"/>
          <w:szCs w:val="32"/>
          <w:lang w:val="en-US" w:eastAsia="zh-CN"/>
        </w:rPr>
      </w:pPr>
    </w:p>
    <w:p w14:paraId="781F2F21">
      <w:pPr>
        <w:keepNext w:val="0"/>
        <w:keepLines w:val="0"/>
        <w:pageBreakBefore w:val="0"/>
        <w:widowControl w:val="0"/>
        <w:kinsoku/>
        <w:wordWrap/>
        <w:overflowPunct/>
        <w:topLinePunct w:val="0"/>
        <w:autoSpaceDE/>
        <w:bidi w:val="0"/>
        <w:adjustRightInd/>
        <w:spacing w:line="600" w:lineRule="exact"/>
        <w:jc w:val="center"/>
        <w:textAlignment w:val="auto"/>
        <w:outlineLvl w:val="0"/>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202</w:t>
      </w:r>
      <w:r>
        <w:rPr>
          <w:rFonts w:hint="eastAsia" w:ascii="方正小标宋简体" w:hAnsi="方正小标宋简体" w:eastAsia="方正小标宋简体" w:cs="方正小标宋简体"/>
          <w:sz w:val="44"/>
          <w:szCs w:val="44"/>
          <w:lang w:val="en-US" w:eastAsia="zh-CN"/>
        </w:rPr>
        <w:t>6</w:t>
      </w:r>
      <w:r>
        <w:rPr>
          <w:rFonts w:hint="eastAsia" w:ascii="方正小标宋简体" w:hAnsi="方正小标宋简体" w:eastAsia="方正小标宋简体" w:cs="方正小标宋简体"/>
          <w:sz w:val="44"/>
          <w:szCs w:val="44"/>
        </w:rPr>
        <w:t>年中央农业</w:t>
      </w:r>
      <w:r>
        <w:rPr>
          <w:rFonts w:hint="eastAsia" w:ascii="方正小标宋简体" w:hAnsi="方正小标宋简体" w:eastAsia="方正小标宋简体" w:cs="方正小标宋简体"/>
          <w:sz w:val="44"/>
          <w:szCs w:val="44"/>
          <w:lang w:eastAsia="zh-CN"/>
        </w:rPr>
        <w:t>经营</w:t>
      </w:r>
      <w:r>
        <w:rPr>
          <w:rFonts w:hint="eastAsia" w:ascii="方正小标宋简体" w:hAnsi="方正小标宋简体" w:eastAsia="方正小标宋简体" w:cs="方正小标宋简体"/>
          <w:sz w:val="44"/>
          <w:szCs w:val="44"/>
        </w:rPr>
        <w:t>主体能力提升资金</w:t>
      </w:r>
    </w:p>
    <w:p w14:paraId="54413985">
      <w:pPr>
        <w:spacing w:line="600" w:lineRule="exact"/>
        <w:jc w:val="center"/>
        <w:outlineLvl w:val="0"/>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rPr>
        <w:t>（大豆种子包衣）项目实施方案（</w:t>
      </w:r>
      <w:r>
        <w:rPr>
          <w:rFonts w:hint="eastAsia" w:ascii="方正小标宋简体" w:hAnsi="方正小标宋简体" w:eastAsia="方正小标宋简体" w:cs="方正小标宋简体"/>
          <w:sz w:val="44"/>
          <w:szCs w:val="44"/>
          <w:lang w:val="en-US" w:eastAsia="zh-CN"/>
        </w:rPr>
        <w:t>指南</w:t>
      </w:r>
      <w:r>
        <w:rPr>
          <w:rFonts w:hint="eastAsia" w:ascii="方正小标宋简体" w:hAnsi="方正小标宋简体" w:eastAsia="方正小标宋简体" w:cs="方正小标宋简体"/>
          <w:sz w:val="44"/>
          <w:szCs w:val="44"/>
        </w:rPr>
        <w:t>）</w:t>
      </w:r>
    </w:p>
    <w:p w14:paraId="2FB40F91">
      <w:pPr>
        <w:pStyle w:val="16"/>
        <w:pBdr>
          <w:top w:val="none" w:color="000000" w:sz="0" w:space="0"/>
          <w:left w:val="none" w:color="000000" w:sz="0" w:space="0"/>
          <w:bottom w:val="none" w:color="000000" w:sz="0" w:space="29"/>
          <w:right w:val="none" w:color="000000" w:sz="0" w:space="10"/>
        </w:pBdr>
        <w:autoSpaceDN w:val="0"/>
        <w:snapToGrid w:val="0"/>
        <w:spacing w:line="600" w:lineRule="exact"/>
        <w:rPr>
          <w:rFonts w:hint="default" w:ascii="Times New Roman" w:hAnsi="Times New Roman" w:eastAsia="方正小标宋简体" w:cs="Times New Roman"/>
          <w:sz w:val="44"/>
          <w:szCs w:val="44"/>
        </w:rPr>
      </w:pPr>
    </w:p>
    <w:p w14:paraId="1F563177">
      <w:pPr>
        <w:pStyle w:val="16"/>
        <w:pBdr>
          <w:top w:val="none" w:color="000000" w:sz="0" w:space="0"/>
          <w:left w:val="none" w:color="000000" w:sz="0" w:space="0"/>
          <w:bottom w:val="none" w:color="000000" w:sz="0" w:space="29"/>
          <w:right w:val="none" w:color="000000" w:sz="0" w:space="10"/>
        </w:pBdr>
        <w:autoSpaceDN w:val="0"/>
        <w:snapToGrid w:val="0"/>
        <w:spacing w:line="600" w:lineRule="exact"/>
        <w:ind w:firstLine="640" w:firstLineChars="200"/>
        <w:rPr>
          <w:rFonts w:hint="default" w:ascii="Times New Roman" w:hAnsi="Times New Roman" w:eastAsia="仿宋_GB2312" w:cs="Times New Roman"/>
          <w:sz w:val="32"/>
          <w:szCs w:val="44"/>
        </w:rPr>
      </w:pPr>
      <w:r>
        <w:rPr>
          <w:rFonts w:hint="default" w:ascii="Times New Roman" w:hAnsi="Times New Roman" w:eastAsia="仿宋_GB2312" w:cs="Times New Roman"/>
          <w:sz w:val="32"/>
          <w:szCs w:val="44"/>
        </w:rPr>
        <w:t>按照</w:t>
      </w:r>
      <w:r>
        <w:rPr>
          <w:rFonts w:hint="default" w:ascii="Times New Roman" w:hAnsi="Times New Roman" w:eastAsia="仿宋_GB2312" w:cs="Times New Roman"/>
          <w:sz w:val="32"/>
          <w:szCs w:val="44"/>
          <w:lang w:val="en-US" w:eastAsia="zh-CN"/>
        </w:rPr>
        <w:t>农业农村部种植业管理司《关于切实做好2026年大豆种子包衣工作的通知》有关要求</w:t>
      </w:r>
      <w:r>
        <w:rPr>
          <w:rFonts w:hint="default" w:ascii="Times New Roman" w:hAnsi="Times New Roman" w:eastAsia="仿宋_GB2312" w:cs="Times New Roman"/>
          <w:sz w:val="32"/>
          <w:szCs w:val="44"/>
        </w:rPr>
        <w:t>，为进一步巩固大豆扩种成果，推进大面积单产提升，结合我省实际情况，制定本方案。</w:t>
      </w:r>
    </w:p>
    <w:p w14:paraId="51BE7381">
      <w:pPr>
        <w:pStyle w:val="16"/>
        <w:pBdr>
          <w:top w:val="none" w:color="000000" w:sz="0" w:space="0"/>
          <w:left w:val="none" w:color="000000" w:sz="0" w:space="0"/>
          <w:bottom w:val="none" w:color="000000" w:sz="0" w:space="29"/>
          <w:right w:val="none" w:color="000000" w:sz="0" w:space="10"/>
        </w:pBdr>
        <w:autoSpaceDN w:val="0"/>
        <w:snapToGrid w:val="0"/>
        <w:spacing w:line="600" w:lineRule="exact"/>
        <w:ind w:firstLine="640" w:firstLineChars="200"/>
        <w:outlineLvl w:val="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一、</w:t>
      </w:r>
      <w:r>
        <w:rPr>
          <w:rFonts w:hint="default" w:ascii="Times New Roman" w:hAnsi="Times New Roman" w:eastAsia="黑体" w:cs="Times New Roman"/>
          <w:sz w:val="32"/>
          <w:szCs w:val="32"/>
          <w:lang w:val="en-US" w:eastAsia="zh-CN"/>
        </w:rPr>
        <w:t>绩效</w:t>
      </w:r>
      <w:r>
        <w:rPr>
          <w:rFonts w:hint="default" w:ascii="Times New Roman" w:hAnsi="Times New Roman" w:eastAsia="黑体" w:cs="Times New Roman"/>
          <w:sz w:val="32"/>
          <w:szCs w:val="32"/>
        </w:rPr>
        <w:t>目标</w:t>
      </w:r>
    </w:p>
    <w:p w14:paraId="46683789">
      <w:pPr>
        <w:pStyle w:val="16"/>
        <w:pBdr>
          <w:top w:val="none" w:color="000000" w:sz="0" w:space="0"/>
          <w:left w:val="none" w:color="000000" w:sz="0" w:space="0"/>
          <w:bottom w:val="none" w:color="000000" w:sz="0" w:space="29"/>
          <w:right w:val="none" w:color="000000" w:sz="0" w:space="10"/>
        </w:pBdr>
        <w:autoSpaceDN w:val="0"/>
        <w:snapToGrid w:val="0"/>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按照国家要求，在全省范围内落实大豆种子包衣技术</w:t>
      </w:r>
      <w:r>
        <w:rPr>
          <w:rFonts w:hint="default" w:ascii="Times New Roman" w:hAnsi="Times New Roman" w:eastAsia="仿宋_GB2312" w:cs="Times New Roman"/>
          <w:sz w:val="32"/>
          <w:szCs w:val="32"/>
          <w:lang w:val="en-US" w:eastAsia="zh-CN"/>
        </w:rPr>
        <w:t>97</w:t>
      </w:r>
      <w:r>
        <w:rPr>
          <w:rFonts w:hint="default" w:ascii="Times New Roman" w:hAnsi="Times New Roman" w:eastAsia="仿宋_GB2312" w:cs="Times New Roman"/>
          <w:sz w:val="32"/>
          <w:szCs w:val="32"/>
        </w:rPr>
        <w:t>万亩以上，持续提升全省大豆生产水平。</w:t>
      </w:r>
    </w:p>
    <w:p w14:paraId="04A9A840">
      <w:pPr>
        <w:pStyle w:val="16"/>
        <w:pBdr>
          <w:top w:val="none" w:color="000000" w:sz="0" w:space="0"/>
          <w:left w:val="none" w:color="000000" w:sz="0" w:space="0"/>
          <w:bottom w:val="none" w:color="000000" w:sz="0" w:space="29"/>
          <w:right w:val="none" w:color="000000" w:sz="0" w:space="10"/>
        </w:pBdr>
        <w:autoSpaceDN w:val="0"/>
        <w:snapToGrid w:val="0"/>
        <w:spacing w:line="600" w:lineRule="exact"/>
        <w:ind w:firstLine="640" w:firstLineChars="200"/>
        <w:outlineLvl w:val="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二、实施范围</w:t>
      </w:r>
    </w:p>
    <w:p w14:paraId="75ACAD70">
      <w:pPr>
        <w:pStyle w:val="16"/>
        <w:pBdr>
          <w:top w:val="none" w:color="000000" w:sz="0" w:space="0"/>
          <w:left w:val="none" w:color="000000" w:sz="0" w:space="0"/>
          <w:bottom w:val="none" w:color="000000" w:sz="0" w:space="29"/>
          <w:right w:val="none" w:color="000000" w:sz="0" w:space="10"/>
        </w:pBdr>
        <w:autoSpaceDN w:val="0"/>
        <w:snapToGrid w:val="0"/>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依据前期调度信息，选择</w:t>
      </w:r>
      <w:r>
        <w:rPr>
          <w:rFonts w:hint="default" w:ascii="Times New Roman" w:hAnsi="Times New Roman" w:eastAsia="仿宋_GB2312" w:cs="Times New Roman"/>
          <w:sz w:val="32"/>
          <w:szCs w:val="32"/>
          <w:lang w:val="en-US" w:eastAsia="zh-CN"/>
        </w:rPr>
        <w:t>2026</w:t>
      </w:r>
      <w:r>
        <w:rPr>
          <w:rFonts w:hint="default" w:ascii="Times New Roman" w:hAnsi="Times New Roman" w:eastAsia="仿宋_GB2312" w:cs="Times New Roman"/>
          <w:sz w:val="32"/>
          <w:szCs w:val="32"/>
        </w:rPr>
        <w:t>年</w:t>
      </w:r>
      <w:r>
        <w:rPr>
          <w:rFonts w:hint="default" w:ascii="Times New Roman" w:hAnsi="Times New Roman" w:eastAsia="仿宋_GB2312" w:cs="Times New Roman"/>
          <w:sz w:val="32"/>
          <w:szCs w:val="32"/>
          <w:lang w:val="en-US" w:eastAsia="zh-CN"/>
        </w:rPr>
        <w:t>有</w:t>
      </w:r>
      <w:r>
        <w:rPr>
          <w:rFonts w:hint="default" w:ascii="Times New Roman" w:hAnsi="Times New Roman" w:eastAsia="仿宋_GB2312" w:cs="Times New Roman"/>
          <w:sz w:val="32"/>
          <w:szCs w:val="32"/>
        </w:rPr>
        <w:t>大豆种子包衣</w:t>
      </w:r>
      <w:r>
        <w:rPr>
          <w:rFonts w:hint="default" w:ascii="Times New Roman" w:hAnsi="Times New Roman" w:eastAsia="仿宋_GB2312" w:cs="Times New Roman"/>
          <w:sz w:val="32"/>
          <w:szCs w:val="32"/>
          <w:lang w:val="en-US" w:eastAsia="zh-CN"/>
        </w:rPr>
        <w:t>资金需求的12个</w:t>
      </w:r>
      <w:r>
        <w:rPr>
          <w:rFonts w:hint="default" w:ascii="Times New Roman" w:hAnsi="Times New Roman" w:eastAsia="仿宋_GB2312" w:cs="Times New Roman"/>
          <w:sz w:val="32"/>
          <w:szCs w:val="32"/>
        </w:rPr>
        <w:t>县（市、区）具体负责项目实施，具体为：</w:t>
      </w:r>
      <w:r>
        <w:rPr>
          <w:rFonts w:hint="default" w:ascii="Times New Roman" w:hAnsi="Times New Roman" w:eastAsia="仿宋_GB2312" w:cs="Times New Roman"/>
          <w:sz w:val="32"/>
          <w:szCs w:val="32"/>
          <w:lang w:val="en-US" w:eastAsia="zh-CN"/>
        </w:rPr>
        <w:t>舒兰市、伊通县、梨树县、抚松县、松原市本级、</w:t>
      </w:r>
      <w:r>
        <w:rPr>
          <w:rFonts w:hint="default" w:ascii="Times New Roman" w:hAnsi="Times New Roman" w:eastAsia="仿宋_GB2312" w:cs="Times New Roman"/>
          <w:sz w:val="32"/>
          <w:szCs w:val="32"/>
        </w:rPr>
        <w:t>长岭县</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前郭县、扶余市、通榆县、延吉市、汪清县和梅河口市</w:t>
      </w:r>
      <w:r>
        <w:rPr>
          <w:rFonts w:hint="default" w:ascii="Times New Roman" w:hAnsi="Times New Roman" w:eastAsia="仿宋_GB2312" w:cs="Times New Roman"/>
          <w:sz w:val="32"/>
          <w:szCs w:val="32"/>
        </w:rPr>
        <w:t>。</w:t>
      </w:r>
    </w:p>
    <w:p w14:paraId="299B9D9B">
      <w:pPr>
        <w:pStyle w:val="16"/>
        <w:pBdr>
          <w:top w:val="none" w:color="000000" w:sz="0" w:space="0"/>
          <w:left w:val="none" w:color="000000" w:sz="0" w:space="0"/>
          <w:bottom w:val="none" w:color="000000" w:sz="0" w:space="29"/>
          <w:right w:val="none" w:color="000000" w:sz="0" w:space="10"/>
        </w:pBdr>
        <w:autoSpaceDN w:val="0"/>
        <w:snapToGrid w:val="0"/>
        <w:spacing w:line="600" w:lineRule="exact"/>
        <w:ind w:firstLine="640" w:firstLineChars="200"/>
        <w:outlineLvl w:val="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三、奖补对象及标准</w:t>
      </w:r>
    </w:p>
    <w:p w14:paraId="7494F5B8">
      <w:pPr>
        <w:pStyle w:val="16"/>
        <w:pBdr>
          <w:top w:val="none" w:color="000000" w:sz="0" w:space="0"/>
          <w:left w:val="none" w:color="000000" w:sz="0" w:space="0"/>
          <w:bottom w:val="none" w:color="000000" w:sz="0" w:space="29"/>
          <w:right w:val="none" w:color="000000" w:sz="0" w:space="10"/>
        </w:pBdr>
        <w:autoSpaceDN w:val="0"/>
        <w:snapToGrid w:val="0"/>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项目可以采取补钱、补物、补服务等方式实施</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重点支持</w:t>
      </w:r>
      <w:r>
        <w:rPr>
          <w:rFonts w:hint="default" w:ascii="Times New Roman" w:hAnsi="Times New Roman" w:eastAsia="仿宋_GB2312" w:cs="Times New Roman"/>
          <w:sz w:val="32"/>
          <w:szCs w:val="32"/>
        </w:rPr>
        <w:t>在大豆种植过程中实施种子包衣技术的家庭农场、合作社、种植大户</w:t>
      </w:r>
      <w:r>
        <w:rPr>
          <w:rFonts w:hint="default" w:ascii="Times New Roman" w:hAnsi="Times New Roman" w:eastAsia="仿宋_GB2312" w:cs="Times New Roman"/>
          <w:sz w:val="32"/>
          <w:szCs w:val="32"/>
          <w:lang w:val="en-US" w:eastAsia="zh-CN"/>
        </w:rPr>
        <w:t>等</w:t>
      </w:r>
      <w:r>
        <w:rPr>
          <w:rFonts w:hint="default" w:ascii="Times New Roman" w:hAnsi="Times New Roman" w:eastAsia="仿宋_GB2312" w:cs="Times New Roman"/>
          <w:sz w:val="32"/>
          <w:szCs w:val="32"/>
        </w:rPr>
        <w:t>规模主体</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普通农户在自愿申报的前提下，可通过政府采购方式一并享受政策支持，</w:t>
      </w:r>
      <w:r>
        <w:rPr>
          <w:rFonts w:hint="default" w:ascii="Times New Roman" w:hAnsi="Times New Roman" w:eastAsia="仿宋_GB2312" w:cs="Times New Roman"/>
          <w:sz w:val="32"/>
          <w:szCs w:val="32"/>
        </w:rPr>
        <w:t>各地要结合</w:t>
      </w:r>
      <w:r>
        <w:rPr>
          <w:rFonts w:hint="default" w:ascii="Times New Roman" w:hAnsi="Times New Roman" w:eastAsia="仿宋_GB2312" w:cs="Times New Roman"/>
          <w:sz w:val="32"/>
          <w:szCs w:val="32"/>
          <w:lang w:val="en-US" w:eastAsia="zh-CN"/>
        </w:rPr>
        <w:t>当地大豆病虫害防治工作实际，</w:t>
      </w:r>
      <w:r>
        <w:rPr>
          <w:rFonts w:hint="default" w:ascii="Times New Roman" w:hAnsi="Times New Roman" w:eastAsia="仿宋_GB2312" w:cs="Times New Roman"/>
          <w:sz w:val="32"/>
          <w:szCs w:val="32"/>
        </w:rPr>
        <w:t>在确保包衣效果的前提下，科学确定补贴标准，适度扩大技术覆盖面积。</w:t>
      </w:r>
    </w:p>
    <w:p w14:paraId="4902C68A">
      <w:pPr>
        <w:pStyle w:val="16"/>
        <w:pBdr>
          <w:top w:val="none" w:color="000000" w:sz="0" w:space="0"/>
          <w:left w:val="none" w:color="000000" w:sz="0" w:space="0"/>
          <w:bottom w:val="none" w:color="000000" w:sz="0" w:space="29"/>
          <w:right w:val="none" w:color="000000" w:sz="0" w:space="10"/>
        </w:pBdr>
        <w:autoSpaceDN w:val="0"/>
        <w:spacing w:line="600" w:lineRule="exact"/>
        <w:ind w:firstLine="640" w:firstLineChars="200"/>
        <w:outlineLvl w:val="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四、实施步骤</w:t>
      </w:r>
    </w:p>
    <w:p w14:paraId="22550925">
      <w:pPr>
        <w:pStyle w:val="16"/>
        <w:pBdr>
          <w:top w:val="none" w:color="000000" w:sz="0" w:space="0"/>
          <w:left w:val="none" w:color="000000" w:sz="0" w:space="0"/>
          <w:bottom w:val="none" w:color="000000" w:sz="0" w:space="29"/>
          <w:right w:val="none" w:color="000000" w:sz="0" w:space="10"/>
        </w:pBdr>
        <w:autoSpaceDN w:val="0"/>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按照细化方案、组织申报、据实补助、公开公示的程序推进实施。</w:t>
      </w:r>
    </w:p>
    <w:p w14:paraId="0BA1FA03">
      <w:pPr>
        <w:pStyle w:val="16"/>
        <w:pBdr>
          <w:top w:val="none" w:color="000000" w:sz="0" w:space="0"/>
          <w:left w:val="none" w:color="000000" w:sz="0" w:space="0"/>
          <w:bottom w:val="none" w:color="000000" w:sz="0" w:space="29"/>
          <w:right w:val="none" w:color="000000" w:sz="0" w:space="10"/>
        </w:pBdr>
        <w:autoSpaceDN w:val="0"/>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黑体" w:cs="Times New Roman"/>
          <w:sz w:val="32"/>
          <w:szCs w:val="32"/>
        </w:rPr>
        <w:t>一是细化方案。</w:t>
      </w:r>
      <w:r>
        <w:rPr>
          <w:rFonts w:hint="default" w:ascii="Times New Roman" w:hAnsi="Times New Roman" w:eastAsia="仿宋_GB2312" w:cs="Times New Roman"/>
          <w:sz w:val="32"/>
          <w:szCs w:val="32"/>
        </w:rPr>
        <w:t>各项目县（市、区）要尽快制定实施方案，</w:t>
      </w:r>
      <w:r>
        <w:rPr>
          <w:rFonts w:hint="default" w:ascii="Times New Roman" w:hAnsi="Times New Roman" w:eastAsia="仿宋_GB2312" w:cs="Times New Roman"/>
          <w:sz w:val="32"/>
          <w:szCs w:val="32"/>
          <w:lang w:val="en-US" w:eastAsia="zh-CN"/>
        </w:rPr>
        <w:t>参考《</w:t>
      </w:r>
      <w:r>
        <w:rPr>
          <w:rFonts w:hint="default" w:ascii="Times New Roman" w:hAnsi="Times New Roman" w:eastAsia="仿宋_GB2312" w:cs="Times New Roman"/>
          <w:b w:val="0"/>
          <w:bCs w:val="0"/>
          <w:sz w:val="32"/>
          <w:szCs w:val="32"/>
          <w:lang w:val="en-US" w:eastAsia="zh-CN"/>
        </w:rPr>
        <w:t>2026年吉林省大豆种子包衣技术指导意见</w:t>
      </w: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明确</w:t>
      </w:r>
      <w:r>
        <w:rPr>
          <w:rFonts w:hint="default" w:ascii="Times New Roman" w:hAnsi="Times New Roman" w:eastAsia="仿宋_GB2312" w:cs="Times New Roman"/>
          <w:sz w:val="32"/>
          <w:szCs w:val="32"/>
          <w:lang w:val="en-US" w:eastAsia="zh-CN"/>
        </w:rPr>
        <w:t>重点防控对象</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奖补标准及</w:t>
      </w:r>
      <w:r>
        <w:rPr>
          <w:rFonts w:hint="default" w:ascii="Times New Roman" w:hAnsi="Times New Roman" w:eastAsia="仿宋_GB2312" w:cs="Times New Roman"/>
          <w:sz w:val="32"/>
          <w:szCs w:val="32"/>
        </w:rPr>
        <w:t>方式、</w:t>
      </w:r>
      <w:r>
        <w:rPr>
          <w:rFonts w:hint="default" w:ascii="Times New Roman" w:hAnsi="Times New Roman" w:eastAsia="仿宋_GB2312" w:cs="Times New Roman"/>
          <w:sz w:val="32"/>
          <w:szCs w:val="32"/>
          <w:lang w:val="en-US" w:eastAsia="zh-CN"/>
        </w:rPr>
        <w:t>工作</w:t>
      </w:r>
      <w:r>
        <w:rPr>
          <w:rFonts w:hint="default" w:ascii="Times New Roman" w:hAnsi="Times New Roman" w:eastAsia="仿宋_GB2312" w:cs="Times New Roman"/>
          <w:sz w:val="32"/>
          <w:szCs w:val="32"/>
        </w:rPr>
        <w:t>保障措施、</w:t>
      </w:r>
      <w:r>
        <w:rPr>
          <w:rFonts w:hint="default" w:ascii="Times New Roman" w:hAnsi="Times New Roman" w:eastAsia="仿宋_GB2312" w:cs="Times New Roman"/>
          <w:sz w:val="32"/>
          <w:szCs w:val="32"/>
          <w:lang w:val="en-US" w:eastAsia="zh-CN"/>
        </w:rPr>
        <w:t>任务</w:t>
      </w:r>
      <w:r>
        <w:rPr>
          <w:rFonts w:hint="default" w:ascii="Times New Roman" w:hAnsi="Times New Roman" w:eastAsia="仿宋_GB2312" w:cs="Times New Roman"/>
          <w:sz w:val="32"/>
          <w:szCs w:val="32"/>
        </w:rPr>
        <w:t>责任分工等内容，</w:t>
      </w:r>
      <w:r>
        <w:rPr>
          <w:rFonts w:hint="default" w:ascii="Times New Roman" w:hAnsi="Times New Roman" w:eastAsia="仿宋_GB2312" w:cs="Times New Roman"/>
          <w:sz w:val="32"/>
          <w:szCs w:val="32"/>
          <w:lang w:val="en-US" w:eastAsia="zh-CN"/>
        </w:rPr>
        <w:t>确保</w:t>
      </w:r>
      <w:r>
        <w:rPr>
          <w:rFonts w:hint="default" w:ascii="Times New Roman" w:hAnsi="Times New Roman" w:eastAsia="仿宋_GB2312" w:cs="Times New Roman"/>
          <w:sz w:val="32"/>
          <w:szCs w:val="32"/>
        </w:rPr>
        <w:t>任务精准落实到田间地块，项目方案于</w:t>
      </w:r>
      <w:r>
        <w:rPr>
          <w:rFonts w:hint="default" w:ascii="Times New Roman" w:hAnsi="Times New Roman" w:eastAsia="仿宋_GB2312" w:cs="Times New Roman"/>
          <w:sz w:val="32"/>
          <w:szCs w:val="32"/>
          <w:lang w:val="en-US" w:eastAsia="zh-CN"/>
        </w:rPr>
        <w:t>7</w:t>
      </w:r>
      <w:r>
        <w:rPr>
          <w:rFonts w:hint="default" w:ascii="Times New Roman" w:hAnsi="Times New Roman" w:eastAsia="仿宋_GB2312" w:cs="Times New Roman"/>
          <w:sz w:val="32"/>
          <w:szCs w:val="32"/>
        </w:rPr>
        <w:t>月</w:t>
      </w:r>
      <w:r>
        <w:rPr>
          <w:rFonts w:hint="default" w:ascii="Times New Roman" w:hAnsi="Times New Roman" w:eastAsia="仿宋_GB2312" w:cs="Times New Roman"/>
          <w:sz w:val="32"/>
          <w:szCs w:val="32"/>
          <w:lang w:val="en-US" w:eastAsia="zh-CN"/>
        </w:rPr>
        <w:t>15</w:t>
      </w:r>
      <w:r>
        <w:rPr>
          <w:rFonts w:hint="default" w:ascii="Times New Roman" w:hAnsi="Times New Roman" w:eastAsia="仿宋_GB2312" w:cs="Times New Roman"/>
          <w:sz w:val="32"/>
          <w:szCs w:val="32"/>
        </w:rPr>
        <w:t>日前上报</w:t>
      </w:r>
      <w:r>
        <w:rPr>
          <w:rFonts w:hint="default" w:ascii="Times New Roman" w:hAnsi="Times New Roman" w:eastAsia="仿宋_GB2312" w:cs="Times New Roman"/>
          <w:sz w:val="32"/>
          <w:szCs w:val="32"/>
          <w:lang w:val="en-US" w:eastAsia="zh-CN"/>
        </w:rPr>
        <w:t>省</w:t>
      </w:r>
      <w:r>
        <w:rPr>
          <w:rFonts w:hint="default" w:ascii="Times New Roman" w:hAnsi="Times New Roman" w:eastAsia="仿宋_GB2312" w:cs="Times New Roman"/>
          <w:sz w:val="32"/>
          <w:szCs w:val="32"/>
        </w:rPr>
        <w:t>农业农村厅备案。</w:t>
      </w:r>
    </w:p>
    <w:p w14:paraId="42BAD889">
      <w:pPr>
        <w:pStyle w:val="16"/>
        <w:pBdr>
          <w:top w:val="none" w:color="000000" w:sz="0" w:space="0"/>
          <w:left w:val="none" w:color="000000" w:sz="0" w:space="0"/>
          <w:bottom w:val="none" w:color="000000" w:sz="0" w:space="29"/>
          <w:right w:val="none" w:color="000000" w:sz="0" w:space="10"/>
        </w:pBdr>
        <w:autoSpaceDN w:val="0"/>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黑体" w:cs="Times New Roman"/>
          <w:sz w:val="32"/>
          <w:szCs w:val="32"/>
        </w:rPr>
        <w:t>二是组织申报。</w:t>
      </w:r>
      <w:r>
        <w:rPr>
          <w:rFonts w:hint="default" w:ascii="Times New Roman" w:hAnsi="Times New Roman" w:eastAsia="仿宋_GB2312" w:cs="Times New Roman"/>
          <w:sz w:val="32"/>
          <w:szCs w:val="32"/>
        </w:rPr>
        <w:t>各项目县要广泛动员大豆种植主体积极参与项目，有序组织主体自主申报，申报材料需明确技术实施面积、用药种类及数量等基本信息</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采取奖补方式实施项目的地区需主体同步</w:t>
      </w:r>
      <w:r>
        <w:rPr>
          <w:rFonts w:hint="default" w:ascii="Times New Roman" w:hAnsi="Times New Roman" w:eastAsia="仿宋_GB2312" w:cs="Times New Roman"/>
          <w:sz w:val="32"/>
          <w:szCs w:val="32"/>
        </w:rPr>
        <w:t>提供包衣过程图片、种药购买</w:t>
      </w:r>
      <w:r>
        <w:rPr>
          <w:rFonts w:hint="default" w:ascii="Times New Roman" w:hAnsi="Times New Roman" w:eastAsia="仿宋_GB2312" w:cs="Times New Roman"/>
          <w:sz w:val="32"/>
          <w:szCs w:val="32"/>
          <w:lang w:val="en-US" w:eastAsia="zh-CN"/>
        </w:rPr>
        <w:t>发票</w:t>
      </w:r>
      <w:r>
        <w:rPr>
          <w:rFonts w:hint="default" w:ascii="Times New Roman" w:hAnsi="Times New Roman" w:eastAsia="仿宋_GB2312" w:cs="Times New Roman"/>
          <w:sz w:val="32"/>
          <w:szCs w:val="32"/>
        </w:rPr>
        <w:t>等</w:t>
      </w:r>
      <w:r>
        <w:rPr>
          <w:rFonts w:hint="default" w:ascii="Times New Roman" w:hAnsi="Times New Roman" w:eastAsia="仿宋_GB2312" w:cs="Times New Roman"/>
          <w:sz w:val="32"/>
          <w:szCs w:val="32"/>
          <w:lang w:val="en-US" w:eastAsia="zh-CN"/>
        </w:rPr>
        <w:t>有效佐证</w:t>
      </w:r>
      <w:r>
        <w:rPr>
          <w:rFonts w:hint="default" w:ascii="Times New Roman" w:hAnsi="Times New Roman" w:eastAsia="仿宋_GB2312" w:cs="Times New Roman"/>
          <w:sz w:val="32"/>
          <w:szCs w:val="32"/>
        </w:rPr>
        <w:t>信息。</w:t>
      </w:r>
    </w:p>
    <w:p w14:paraId="5BDC04A3">
      <w:pPr>
        <w:pStyle w:val="16"/>
        <w:pBdr>
          <w:top w:val="none" w:color="000000" w:sz="0" w:space="0"/>
          <w:left w:val="none" w:color="000000" w:sz="0" w:space="0"/>
          <w:bottom w:val="none" w:color="000000" w:sz="0" w:space="29"/>
          <w:right w:val="none" w:color="000000" w:sz="0" w:space="10"/>
        </w:pBdr>
        <w:autoSpaceDN w:val="0"/>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黑体" w:cs="Times New Roman"/>
          <w:sz w:val="32"/>
          <w:szCs w:val="32"/>
        </w:rPr>
        <w:t>三是据实补助。</w:t>
      </w:r>
      <w:r>
        <w:rPr>
          <w:rFonts w:hint="default" w:ascii="Times New Roman" w:hAnsi="Times New Roman" w:eastAsia="仿宋_GB2312" w:cs="Times New Roman"/>
          <w:sz w:val="32"/>
          <w:szCs w:val="32"/>
          <w:lang w:val="en-US" w:eastAsia="zh-CN"/>
        </w:rPr>
        <w:t>种植主体对</w:t>
      </w:r>
      <w:r>
        <w:rPr>
          <w:rFonts w:hint="default" w:ascii="Times New Roman" w:hAnsi="Times New Roman" w:eastAsia="仿宋_GB2312" w:cs="Times New Roman"/>
          <w:sz w:val="32"/>
          <w:szCs w:val="32"/>
        </w:rPr>
        <w:t>申报材料的完整性</w:t>
      </w:r>
      <w:r>
        <w:rPr>
          <w:rFonts w:hint="default" w:ascii="Times New Roman" w:hAnsi="Times New Roman" w:eastAsia="仿宋_GB2312" w:cs="Times New Roman"/>
          <w:sz w:val="32"/>
          <w:szCs w:val="32"/>
          <w:lang w:val="en-US" w:eastAsia="zh-CN"/>
        </w:rPr>
        <w:t>以及实施包衣的真实性负责。</w:t>
      </w:r>
      <w:r>
        <w:rPr>
          <w:rFonts w:hint="default" w:ascii="Times New Roman" w:hAnsi="Times New Roman" w:eastAsia="仿宋_GB2312" w:cs="Times New Roman"/>
          <w:sz w:val="32"/>
          <w:szCs w:val="32"/>
        </w:rPr>
        <w:t>各县市</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乡镇按</w:t>
      </w:r>
      <w:r>
        <w:rPr>
          <w:rFonts w:hint="default" w:ascii="Times New Roman" w:hAnsi="Times New Roman" w:eastAsia="仿宋_GB2312" w:cs="Times New Roman"/>
          <w:sz w:val="32"/>
          <w:szCs w:val="32"/>
          <w:lang w:val="en-US" w:eastAsia="zh-CN"/>
        </w:rPr>
        <w:t>要通过资料审阅或现场核查的方式</w:t>
      </w:r>
      <w:r>
        <w:rPr>
          <w:rFonts w:hint="default" w:ascii="Times New Roman" w:hAnsi="Times New Roman" w:eastAsia="仿宋_GB2312" w:cs="Times New Roman"/>
          <w:sz w:val="32"/>
          <w:szCs w:val="32"/>
        </w:rPr>
        <w:t>抽</w:t>
      </w:r>
      <w:r>
        <w:rPr>
          <w:rFonts w:hint="default" w:ascii="Times New Roman" w:hAnsi="Times New Roman" w:eastAsia="仿宋_GB2312" w:cs="Times New Roman"/>
          <w:sz w:val="32"/>
          <w:szCs w:val="32"/>
          <w:lang w:val="en-US" w:eastAsia="zh-CN"/>
        </w:rPr>
        <w:t>检主体包衣技术落实情况，其中县市抽查数量不低于申报主体数量的20%，乡镇抽查数量不低于申报主体数量的60%，</w:t>
      </w:r>
      <w:r>
        <w:rPr>
          <w:rFonts w:hint="default" w:ascii="Times New Roman" w:hAnsi="Times New Roman" w:eastAsia="仿宋_GB2312" w:cs="Times New Roman"/>
          <w:sz w:val="32"/>
          <w:szCs w:val="32"/>
        </w:rPr>
        <w:t>对未落实大豆种子包衣技术措施的申报主体，取消补助资格</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并限制其下年度种植业补贴类项目申报</w:t>
      </w:r>
      <w:r>
        <w:rPr>
          <w:rFonts w:hint="default" w:ascii="Times New Roman" w:hAnsi="Times New Roman" w:eastAsia="仿宋_GB2312" w:cs="Times New Roman"/>
          <w:sz w:val="32"/>
          <w:szCs w:val="32"/>
        </w:rPr>
        <w:t>。</w:t>
      </w:r>
    </w:p>
    <w:p w14:paraId="28D04D5B">
      <w:pPr>
        <w:pStyle w:val="16"/>
        <w:pBdr>
          <w:top w:val="none" w:color="000000" w:sz="0" w:space="0"/>
          <w:left w:val="none" w:color="000000" w:sz="0" w:space="0"/>
          <w:bottom w:val="none" w:color="000000" w:sz="0" w:space="29"/>
          <w:right w:val="none" w:color="000000" w:sz="0" w:space="10"/>
        </w:pBdr>
        <w:autoSpaceDN w:val="0"/>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黑体" w:cs="Times New Roman"/>
          <w:sz w:val="32"/>
          <w:szCs w:val="32"/>
        </w:rPr>
        <w:t>四是公开公示。</w:t>
      </w:r>
      <w:r>
        <w:rPr>
          <w:rFonts w:hint="default" w:ascii="Times New Roman" w:hAnsi="Times New Roman" w:eastAsia="仿宋_GB2312" w:cs="Times New Roman"/>
          <w:kern w:val="0"/>
          <w:sz w:val="32"/>
          <w:szCs w:val="32"/>
          <w:lang w:bidi="ar"/>
        </w:rPr>
        <w:t>县级农业农村部门要组织乡镇、村屯严格落实项目公示有关规定，</w:t>
      </w:r>
      <w:r>
        <w:rPr>
          <w:rFonts w:hint="default" w:ascii="Times New Roman" w:hAnsi="Times New Roman" w:eastAsia="仿宋_GB2312" w:cs="Times New Roman"/>
          <w:sz w:val="32"/>
          <w:szCs w:val="32"/>
        </w:rPr>
        <w:t>因地制宜综合运用互联网、村务公开等渠道，及时公示项目补助主体及资金情况，</w:t>
      </w:r>
      <w:r>
        <w:rPr>
          <w:rFonts w:hint="default" w:ascii="Times New Roman" w:hAnsi="Times New Roman" w:eastAsia="仿宋_GB2312" w:cs="Times New Roman"/>
          <w:kern w:val="0"/>
          <w:sz w:val="32"/>
          <w:szCs w:val="32"/>
          <w:lang w:bidi="ar"/>
        </w:rPr>
        <w:t>公示内容包括但不限于支持对象、奖补额度、技术运用模式、公示期限、反馈渠道等。</w:t>
      </w:r>
      <w:r>
        <w:rPr>
          <w:rFonts w:hint="default" w:ascii="Times New Roman" w:hAnsi="Times New Roman" w:eastAsia="仿宋_GB2312" w:cs="Times New Roman"/>
          <w:sz w:val="32"/>
          <w:szCs w:val="32"/>
        </w:rPr>
        <w:t>公示期7天，接受社会监督，对反映有异议的要组织核实。公示无异议后，由县级农业农村部门向省农业农村厅报送补贴清册，并按程序及时兑付资金。</w:t>
      </w:r>
    </w:p>
    <w:p w14:paraId="29DB67DC">
      <w:pPr>
        <w:pStyle w:val="16"/>
        <w:pBdr>
          <w:top w:val="none" w:color="000000" w:sz="0" w:space="0"/>
          <w:left w:val="none" w:color="000000" w:sz="0" w:space="0"/>
          <w:bottom w:val="none" w:color="000000" w:sz="0" w:space="29"/>
          <w:right w:val="none" w:color="000000" w:sz="0" w:space="10"/>
        </w:pBdr>
        <w:autoSpaceDN w:val="0"/>
        <w:spacing w:line="600" w:lineRule="exact"/>
        <w:ind w:firstLine="640" w:firstLineChars="200"/>
        <w:outlineLvl w:val="0"/>
        <w:rPr>
          <w:rFonts w:hint="default" w:ascii="Times New Roman" w:hAnsi="Times New Roman" w:eastAsia="仿宋_GB2312" w:cs="Times New Roman"/>
          <w:sz w:val="32"/>
          <w:szCs w:val="32"/>
        </w:rPr>
      </w:pPr>
      <w:r>
        <w:rPr>
          <w:rFonts w:hint="default" w:ascii="Times New Roman" w:hAnsi="Times New Roman" w:eastAsia="黑体" w:cs="Times New Roman"/>
          <w:sz w:val="32"/>
          <w:szCs w:val="32"/>
        </w:rPr>
        <w:t>五、工作要求</w:t>
      </w:r>
    </w:p>
    <w:p w14:paraId="7C93F6E7">
      <w:pPr>
        <w:pStyle w:val="16"/>
        <w:pBdr>
          <w:top w:val="none" w:color="000000" w:sz="0" w:space="0"/>
          <w:left w:val="none" w:color="000000" w:sz="0" w:space="0"/>
          <w:bottom w:val="none" w:color="000000" w:sz="0" w:space="29"/>
          <w:right w:val="none" w:color="000000" w:sz="0" w:space="10"/>
        </w:pBdr>
        <w:autoSpaceDN w:val="0"/>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黑体" w:cs="Times New Roman"/>
          <w:sz w:val="32"/>
          <w:szCs w:val="32"/>
        </w:rPr>
        <w:t>一是</w:t>
      </w:r>
      <w:r>
        <w:rPr>
          <w:rFonts w:hint="default" w:ascii="Times New Roman" w:hAnsi="Times New Roman" w:eastAsia="仿宋_GB2312" w:cs="Times New Roman"/>
          <w:sz w:val="32"/>
          <w:szCs w:val="32"/>
        </w:rPr>
        <w:t>快速推进工作，明确工作具体要求，把握工作落实关键环节、时间节点，适时跟踪进展情况，确保如期保质完成任务</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2025年项目存在结余资金的地区可参照本方案继续实施项目</w:t>
      </w:r>
      <w:r>
        <w:rPr>
          <w:rFonts w:hint="default" w:ascii="Times New Roman" w:hAnsi="Times New Roman" w:eastAsia="仿宋_GB2312" w:cs="Times New Roman"/>
          <w:sz w:val="32"/>
          <w:szCs w:val="32"/>
        </w:rPr>
        <w:t>。</w:t>
      </w:r>
      <w:r>
        <w:rPr>
          <w:rFonts w:hint="default" w:ascii="Times New Roman" w:hAnsi="Times New Roman" w:eastAsia="黑体" w:cs="Times New Roman"/>
          <w:sz w:val="32"/>
          <w:szCs w:val="32"/>
        </w:rPr>
        <w:t>二是</w:t>
      </w:r>
      <w:r>
        <w:rPr>
          <w:rFonts w:hint="default" w:ascii="Times New Roman" w:hAnsi="Times New Roman" w:eastAsia="仿宋_GB2312" w:cs="Times New Roman"/>
          <w:sz w:val="32"/>
          <w:szCs w:val="32"/>
        </w:rPr>
        <w:t>组建应对大豆重茬专家组，适时组织有关技术培训、技术指导服务，提高技术到位率，提升政策实施效果，</w:t>
      </w:r>
      <w:r>
        <w:rPr>
          <w:rFonts w:hint="default" w:ascii="Times New Roman" w:hAnsi="Times New Roman" w:eastAsia="仿宋_GB2312" w:cs="Times New Roman"/>
          <w:sz w:val="32"/>
          <w:szCs w:val="32"/>
          <w:lang w:val="en-US" w:eastAsia="zh-CN"/>
        </w:rPr>
        <w:t>此外通过政府采购方式实施项目的地区，</w:t>
      </w:r>
      <w:r>
        <w:rPr>
          <w:rFonts w:hint="default" w:ascii="Times New Roman" w:hAnsi="Times New Roman" w:eastAsia="仿宋_GB2312" w:cs="Times New Roman"/>
          <w:color w:val="auto"/>
          <w:sz w:val="32"/>
          <w:szCs w:val="32"/>
          <w:lang w:val="en-US" w:eastAsia="zh-CN"/>
        </w:rPr>
        <w:t>要择优采购合规药剂、做好科学用药指导，防止出现药害事故</w:t>
      </w:r>
      <w:r>
        <w:rPr>
          <w:rFonts w:hint="default" w:ascii="Times New Roman" w:hAnsi="Times New Roman" w:eastAsia="仿宋_GB2312" w:cs="Times New Roman"/>
          <w:color w:val="auto"/>
          <w:sz w:val="32"/>
          <w:szCs w:val="32"/>
        </w:rPr>
        <w:t>。</w:t>
      </w:r>
      <w:r>
        <w:rPr>
          <w:rFonts w:hint="default" w:ascii="Times New Roman" w:hAnsi="Times New Roman" w:eastAsia="黑体" w:cs="Times New Roman"/>
          <w:sz w:val="32"/>
          <w:szCs w:val="32"/>
        </w:rPr>
        <w:t>三是</w:t>
      </w:r>
      <w:r>
        <w:rPr>
          <w:rFonts w:hint="default" w:ascii="Times New Roman" w:hAnsi="Times New Roman" w:eastAsia="仿宋_GB2312" w:cs="Times New Roman"/>
          <w:sz w:val="32"/>
          <w:szCs w:val="32"/>
        </w:rPr>
        <w:t>做好信息填报，</w:t>
      </w:r>
      <w:r>
        <w:rPr>
          <w:rFonts w:hint="default" w:ascii="Times New Roman" w:hAnsi="Times New Roman" w:eastAsia="仿宋_GB2312" w:cs="Times New Roman"/>
          <w:sz w:val="32"/>
          <w:szCs w:val="32"/>
          <w:lang w:val="en-US" w:eastAsia="zh-CN"/>
        </w:rPr>
        <w:t>各项目县要通过</w:t>
      </w:r>
      <w:r>
        <w:rPr>
          <w:rFonts w:hint="default" w:ascii="Times New Roman" w:hAnsi="Times New Roman" w:eastAsia="仿宋_GB2312" w:cs="Times New Roman"/>
          <w:sz w:val="32"/>
          <w:szCs w:val="32"/>
        </w:rPr>
        <w:t>农业农村部转移支付项目管理平台做好主体档案管理，及时填报实施进度和资金管理有关情况。</w:t>
      </w:r>
      <w:r>
        <w:rPr>
          <w:rFonts w:hint="default" w:ascii="Times New Roman" w:hAnsi="Times New Roman" w:eastAsia="黑体" w:cs="Times New Roman"/>
          <w:sz w:val="32"/>
          <w:szCs w:val="32"/>
        </w:rPr>
        <w:t>四是</w:t>
      </w:r>
      <w:r>
        <w:rPr>
          <w:rFonts w:hint="default" w:ascii="Times New Roman" w:hAnsi="Times New Roman" w:eastAsia="仿宋_GB2312" w:cs="Times New Roman"/>
          <w:sz w:val="32"/>
          <w:szCs w:val="32"/>
        </w:rPr>
        <w:t>做好总结宣传</w:t>
      </w:r>
      <w:r>
        <w:rPr>
          <w:rFonts w:hint="default" w:ascii="Times New Roman" w:hAnsi="Times New Roman" w:eastAsia="楷体_GB2312" w:cs="Times New Roman"/>
          <w:sz w:val="32"/>
          <w:szCs w:val="32"/>
        </w:rPr>
        <w:t>，</w:t>
      </w:r>
      <w:r>
        <w:rPr>
          <w:rFonts w:hint="default" w:ascii="Times New Roman" w:hAnsi="Times New Roman" w:eastAsia="仿宋_GB2312" w:cs="Times New Roman"/>
          <w:sz w:val="32"/>
          <w:szCs w:val="32"/>
        </w:rPr>
        <w:t>结合粮油规模种植主体单产提升项目，做好大豆种子包衣工作政策解读，梳理好的经验、做法，总结工作实施成效，持续推进大豆稳产、增产。于202</w:t>
      </w:r>
      <w:r>
        <w:rPr>
          <w:rFonts w:hint="default"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年1</w:t>
      </w: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月15日前将主要做法、取得成效、工作建议、下步计划等情况，形成工作总结报省农业农村厅。</w:t>
      </w:r>
    </w:p>
    <w:p w14:paraId="307A7FF4">
      <w:pPr>
        <w:pStyle w:val="16"/>
        <w:pBdr>
          <w:top w:val="none" w:color="000000" w:sz="0" w:space="0"/>
          <w:left w:val="none" w:color="000000" w:sz="0" w:space="0"/>
          <w:bottom w:val="none" w:color="000000" w:sz="0" w:space="29"/>
          <w:right w:val="none" w:color="000000" w:sz="0" w:space="10"/>
        </w:pBdr>
        <w:autoSpaceDN w:val="0"/>
        <w:spacing w:line="600" w:lineRule="exact"/>
        <w:ind w:firstLine="640" w:firstLineChars="200"/>
        <w:rPr>
          <w:rFonts w:hint="default" w:ascii="Times New Roman" w:hAnsi="Times New Roman" w:eastAsia="仿宋_GB2312" w:cs="Times New Roman"/>
          <w:sz w:val="32"/>
          <w:szCs w:val="32"/>
        </w:rPr>
      </w:pPr>
    </w:p>
    <w:p w14:paraId="4F05EEE3">
      <w:pPr>
        <w:pStyle w:val="16"/>
        <w:pBdr>
          <w:top w:val="none" w:color="000000" w:sz="0" w:space="0"/>
          <w:left w:val="none" w:color="000000" w:sz="0" w:space="0"/>
          <w:bottom w:val="none" w:color="000000" w:sz="0" w:space="29"/>
          <w:right w:val="none" w:color="000000" w:sz="0" w:space="10"/>
        </w:pBdr>
        <w:autoSpaceDN w:val="0"/>
        <w:spacing w:line="600" w:lineRule="exact"/>
        <w:ind w:firstLine="640" w:firstLineChars="200"/>
        <w:outlineLvl w:val="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附件：1.吉林省应对大豆重茬专家组</w:t>
      </w:r>
    </w:p>
    <w:p w14:paraId="36408BA6">
      <w:pPr>
        <w:pStyle w:val="16"/>
        <w:pBdr>
          <w:top w:val="none" w:color="000000" w:sz="0" w:space="0"/>
          <w:left w:val="none" w:color="000000" w:sz="0" w:space="0"/>
          <w:bottom w:val="none" w:color="000000" w:sz="0" w:space="29"/>
          <w:right w:val="none" w:color="000000" w:sz="0" w:space="10"/>
        </w:pBdr>
        <w:autoSpaceDN w:val="0"/>
        <w:spacing w:line="600" w:lineRule="exact"/>
        <w:ind w:firstLine="1600" w:firstLineChars="500"/>
        <w:outlineLvl w:val="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2.202</w:t>
      </w:r>
      <w:r>
        <w:rPr>
          <w:rFonts w:hint="default"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年中央财政农业主体能力提升资金（大豆种子</w:t>
      </w:r>
    </w:p>
    <w:p w14:paraId="08B2939D">
      <w:pPr>
        <w:pStyle w:val="16"/>
        <w:pBdr>
          <w:top w:val="none" w:color="000000" w:sz="0" w:space="0"/>
          <w:left w:val="none" w:color="000000" w:sz="0" w:space="0"/>
          <w:bottom w:val="none" w:color="000000" w:sz="0" w:space="29"/>
          <w:right w:val="none" w:color="000000" w:sz="0" w:space="10"/>
        </w:pBdr>
        <w:autoSpaceDN w:val="0"/>
        <w:spacing w:line="600" w:lineRule="exact"/>
        <w:ind w:firstLine="1600" w:firstLineChars="5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包衣）项目任务分配表</w:t>
      </w:r>
    </w:p>
    <w:p w14:paraId="31F9490D">
      <w:pPr>
        <w:pStyle w:val="16"/>
        <w:pBdr>
          <w:top w:val="none" w:color="000000" w:sz="0" w:space="0"/>
          <w:left w:val="none" w:color="000000" w:sz="0" w:space="0"/>
          <w:bottom w:val="none" w:color="000000" w:sz="0" w:space="29"/>
          <w:right w:val="none" w:color="000000" w:sz="0" w:space="10"/>
        </w:pBdr>
        <w:autoSpaceDN w:val="0"/>
        <w:spacing w:line="60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 xml:space="preserve">      3.2026年吉林省大豆种子包衣技术指导方案</w:t>
      </w:r>
    </w:p>
    <w:p w14:paraId="59C3B6EC">
      <w:pPr>
        <w:spacing w:line="60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 xml:space="preserve">联 系 人：省农业农村厅种植业管理处  </w:t>
      </w:r>
      <w:r>
        <w:rPr>
          <w:rFonts w:hint="default" w:ascii="Times New Roman" w:hAnsi="Times New Roman" w:eastAsia="仿宋_GB2312" w:cs="Times New Roman"/>
          <w:sz w:val="32"/>
          <w:szCs w:val="32"/>
          <w:lang w:val="en-US" w:eastAsia="zh-CN"/>
        </w:rPr>
        <w:t>王皓</w:t>
      </w:r>
    </w:p>
    <w:p w14:paraId="7B8584EC">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联系方式：0431-88910585</w:t>
      </w:r>
    </w:p>
    <w:p w14:paraId="43D8296F">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电子邮箱：</w:t>
      </w:r>
      <w:r>
        <w:rPr>
          <w:rFonts w:hint="default" w:ascii="Times New Roman" w:hAnsi="Times New Roman" w:cs="Times New Roman"/>
        </w:rPr>
        <w:fldChar w:fldCharType="begin"/>
      </w:r>
      <w:r>
        <w:rPr>
          <w:rFonts w:hint="default" w:ascii="Times New Roman" w:hAnsi="Times New Roman" w:cs="Times New Roman"/>
        </w:rPr>
        <w:instrText xml:space="preserve"> HYPERLINK "mailto:zzyglc6429@163.com" </w:instrText>
      </w:r>
      <w:r>
        <w:rPr>
          <w:rFonts w:hint="default" w:ascii="Times New Roman" w:hAnsi="Times New Roman" w:cs="Times New Roman"/>
        </w:rPr>
        <w:fldChar w:fldCharType="separate"/>
      </w:r>
      <w:r>
        <w:rPr>
          <w:rFonts w:hint="default" w:ascii="Times New Roman" w:hAnsi="Times New Roman" w:eastAsia="仿宋_GB2312" w:cs="Times New Roman"/>
          <w:sz w:val="32"/>
          <w:szCs w:val="32"/>
        </w:rPr>
        <w:t>zzyglc6429@163.com</w:t>
      </w:r>
      <w:r>
        <w:rPr>
          <w:rFonts w:hint="default" w:ascii="Times New Roman" w:hAnsi="Times New Roman" w:eastAsia="仿宋_GB2312" w:cs="Times New Roman"/>
          <w:sz w:val="32"/>
          <w:szCs w:val="32"/>
        </w:rPr>
        <w:fldChar w:fldCharType="end"/>
      </w:r>
    </w:p>
    <w:p w14:paraId="73B9D623">
      <w:pPr>
        <w:pStyle w:val="11"/>
        <w:spacing w:line="600" w:lineRule="exact"/>
        <w:ind w:left="0" w:leftChars="0"/>
        <w:rPr>
          <w:rFonts w:hint="default" w:ascii="Times New Roman" w:hAnsi="Times New Roman" w:eastAsia="黑体" w:cs="Times New Roman"/>
          <w:bCs/>
          <w:szCs w:val="32"/>
        </w:rPr>
      </w:pPr>
    </w:p>
    <w:p w14:paraId="42F3AE7E">
      <w:pPr>
        <w:pStyle w:val="16"/>
        <w:pBdr>
          <w:top w:val="none" w:color="000000" w:sz="0" w:space="0"/>
          <w:left w:val="none" w:color="000000" w:sz="0" w:space="0"/>
          <w:bottom w:val="none" w:color="000000" w:sz="0" w:space="29"/>
          <w:right w:val="none" w:color="000000" w:sz="0" w:space="10"/>
        </w:pBdr>
        <w:autoSpaceDN w:val="0"/>
        <w:spacing w:line="600" w:lineRule="exact"/>
        <w:ind w:firstLine="640" w:firstLineChars="200"/>
        <w:rPr>
          <w:rFonts w:hint="default" w:ascii="Times New Roman" w:hAnsi="Times New Roman" w:eastAsia="仿宋_GB2312" w:cs="Times New Roman"/>
          <w:sz w:val="32"/>
          <w:szCs w:val="32"/>
        </w:rPr>
      </w:pPr>
    </w:p>
    <w:p w14:paraId="001CD30D">
      <w:pPr>
        <w:pStyle w:val="16"/>
        <w:pBdr>
          <w:top w:val="none" w:color="000000" w:sz="0" w:space="0"/>
          <w:left w:val="none" w:color="000000" w:sz="0" w:space="0"/>
          <w:bottom w:val="none" w:color="000000" w:sz="0" w:space="29"/>
          <w:right w:val="none" w:color="000000" w:sz="0" w:space="10"/>
        </w:pBdr>
        <w:autoSpaceDN w:val="0"/>
        <w:spacing w:line="600" w:lineRule="exact"/>
        <w:ind w:firstLine="640" w:firstLineChars="200"/>
        <w:rPr>
          <w:rFonts w:hint="default" w:ascii="Times New Roman" w:hAnsi="Times New Roman" w:eastAsia="仿宋_GB2312" w:cs="Times New Roman"/>
          <w:sz w:val="32"/>
          <w:szCs w:val="32"/>
        </w:rPr>
      </w:pPr>
    </w:p>
    <w:p w14:paraId="11542DD6">
      <w:pPr>
        <w:pStyle w:val="16"/>
        <w:pBdr>
          <w:top w:val="none" w:color="000000" w:sz="0" w:space="0"/>
          <w:left w:val="none" w:color="000000" w:sz="0" w:space="0"/>
          <w:bottom w:val="none" w:color="000000" w:sz="0" w:space="29"/>
          <w:right w:val="none" w:color="000000" w:sz="0" w:space="10"/>
        </w:pBdr>
        <w:autoSpaceDN w:val="0"/>
        <w:spacing w:line="600" w:lineRule="exact"/>
        <w:ind w:firstLine="640" w:firstLineChars="200"/>
        <w:rPr>
          <w:rFonts w:hint="default" w:ascii="Times New Roman" w:hAnsi="Times New Roman" w:eastAsia="仿宋_GB2312" w:cs="Times New Roman"/>
          <w:sz w:val="32"/>
          <w:szCs w:val="32"/>
        </w:rPr>
      </w:pPr>
    </w:p>
    <w:p w14:paraId="678DC8C8">
      <w:pP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br w:type="page"/>
      </w:r>
    </w:p>
    <w:p w14:paraId="230B51E9">
      <w:pPr>
        <w:pStyle w:val="16"/>
        <w:pBdr>
          <w:top w:val="none" w:color="000000" w:sz="0" w:space="0"/>
          <w:left w:val="none" w:color="000000" w:sz="0" w:space="0"/>
          <w:bottom w:val="none" w:color="000000" w:sz="0" w:space="29"/>
          <w:right w:val="none" w:color="000000" w:sz="0" w:space="10"/>
        </w:pBdr>
        <w:autoSpaceDN w:val="0"/>
        <w:spacing w:line="600" w:lineRule="exac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附件1</w:t>
      </w:r>
    </w:p>
    <w:p w14:paraId="387B4DBD">
      <w:pPr>
        <w:pStyle w:val="16"/>
        <w:pBdr>
          <w:top w:val="none" w:color="000000" w:sz="0" w:space="0"/>
          <w:left w:val="none" w:color="000000" w:sz="0" w:space="0"/>
          <w:bottom w:val="none" w:color="000000" w:sz="0" w:space="29"/>
          <w:right w:val="none" w:color="000000" w:sz="0" w:space="10"/>
        </w:pBdr>
        <w:autoSpaceDN w:val="0"/>
        <w:spacing w:line="600" w:lineRule="exact"/>
        <w:jc w:val="center"/>
        <w:rPr>
          <w:rFonts w:hint="default" w:ascii="Times New Roman" w:hAnsi="Times New Roman" w:eastAsia="方正小标宋简体" w:cs="Times New Roman"/>
          <w:sz w:val="44"/>
          <w:szCs w:val="44"/>
        </w:rPr>
      </w:pPr>
    </w:p>
    <w:p w14:paraId="6F203E13">
      <w:pPr>
        <w:pStyle w:val="16"/>
        <w:pBdr>
          <w:top w:val="none" w:color="000000" w:sz="0" w:space="0"/>
          <w:left w:val="none" w:color="000000" w:sz="0" w:space="0"/>
          <w:bottom w:val="none" w:color="000000" w:sz="0" w:space="29"/>
          <w:right w:val="none" w:color="000000" w:sz="0" w:space="10"/>
        </w:pBdr>
        <w:autoSpaceDN w:val="0"/>
        <w:spacing w:line="600" w:lineRule="exact"/>
        <w:jc w:val="center"/>
        <w:outlineLvl w:val="0"/>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吉林省应对大豆重茬专家组</w:t>
      </w:r>
    </w:p>
    <w:p w14:paraId="560E870F">
      <w:pPr>
        <w:pStyle w:val="16"/>
        <w:pBdr>
          <w:top w:val="none" w:color="000000" w:sz="0" w:space="0"/>
          <w:left w:val="none" w:color="000000" w:sz="0" w:space="0"/>
          <w:bottom w:val="none" w:color="000000" w:sz="0" w:space="29"/>
          <w:right w:val="none" w:color="000000" w:sz="0" w:space="10"/>
        </w:pBdr>
        <w:autoSpaceDN w:val="0"/>
        <w:spacing w:line="600" w:lineRule="exact"/>
        <w:jc w:val="center"/>
        <w:rPr>
          <w:rFonts w:hint="default" w:ascii="Times New Roman" w:hAnsi="Times New Roman" w:eastAsia="方正小标宋简体" w:cs="Times New Roman"/>
          <w:sz w:val="44"/>
          <w:szCs w:val="44"/>
        </w:rPr>
      </w:pPr>
    </w:p>
    <w:p w14:paraId="329F7164">
      <w:pPr>
        <w:pStyle w:val="16"/>
        <w:pBdr>
          <w:top w:val="none" w:color="000000" w:sz="0" w:space="0"/>
          <w:left w:val="none" w:color="000000" w:sz="0" w:space="0"/>
          <w:bottom w:val="none" w:color="000000" w:sz="0" w:space="29"/>
          <w:right w:val="none" w:color="000000" w:sz="0" w:space="10"/>
        </w:pBdr>
        <w:autoSpaceDN w:val="0"/>
        <w:spacing w:line="600" w:lineRule="exact"/>
        <w:ind w:firstLine="1600" w:firstLineChars="5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张  伟  吉林省农科院副院长</w:t>
      </w:r>
    </w:p>
    <w:p w14:paraId="465D1D3E">
      <w:pPr>
        <w:pStyle w:val="16"/>
        <w:pBdr>
          <w:top w:val="none" w:color="000000" w:sz="0" w:space="0"/>
          <w:left w:val="none" w:color="000000" w:sz="0" w:space="0"/>
          <w:bottom w:val="none" w:color="000000" w:sz="0" w:space="29"/>
          <w:right w:val="none" w:color="000000" w:sz="0" w:space="10"/>
        </w:pBdr>
        <w:autoSpaceDN w:val="0"/>
        <w:spacing w:line="600" w:lineRule="exact"/>
        <w:ind w:firstLine="1600" w:firstLineChars="5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史宏伟  吉林省农业技术推广总站站长</w:t>
      </w:r>
    </w:p>
    <w:p w14:paraId="1745CCE2">
      <w:pPr>
        <w:pStyle w:val="16"/>
        <w:pBdr>
          <w:top w:val="none" w:color="000000" w:sz="0" w:space="0"/>
          <w:left w:val="none" w:color="000000" w:sz="0" w:space="0"/>
          <w:bottom w:val="none" w:color="000000" w:sz="0" w:space="29"/>
          <w:right w:val="none" w:color="000000" w:sz="0" w:space="10"/>
        </w:pBdr>
        <w:autoSpaceDN w:val="0"/>
        <w:spacing w:line="600" w:lineRule="exact"/>
        <w:ind w:firstLine="1600" w:firstLineChars="5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张振铎  吉林省农业技术推广总站副站长</w:t>
      </w:r>
    </w:p>
    <w:p w14:paraId="5A467E84">
      <w:pPr>
        <w:pStyle w:val="16"/>
        <w:pBdr>
          <w:top w:val="none" w:color="000000" w:sz="0" w:space="0"/>
          <w:left w:val="none" w:color="000000" w:sz="0" w:space="0"/>
          <w:bottom w:val="none" w:color="000000" w:sz="0" w:space="29"/>
          <w:right w:val="none" w:color="000000" w:sz="0" w:space="10"/>
        </w:pBdr>
        <w:autoSpaceDN w:val="0"/>
        <w:spacing w:line="600" w:lineRule="exact"/>
        <w:ind w:firstLine="1600" w:firstLineChars="5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蒋洪蔚  吉林省农科院大豆所研究员</w:t>
      </w:r>
    </w:p>
    <w:p w14:paraId="29E53C6D">
      <w:pPr>
        <w:pStyle w:val="16"/>
        <w:pBdr>
          <w:top w:val="none" w:color="000000" w:sz="0" w:space="0"/>
          <w:left w:val="none" w:color="000000" w:sz="0" w:space="0"/>
          <w:bottom w:val="none" w:color="000000" w:sz="0" w:space="29"/>
          <w:right w:val="none" w:color="000000" w:sz="0" w:space="10"/>
        </w:pBdr>
        <w:autoSpaceDN w:val="0"/>
        <w:spacing w:line="600" w:lineRule="exact"/>
        <w:ind w:firstLine="1600" w:firstLineChars="5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艾  东  吉林省农业技术推广总站研究员</w:t>
      </w:r>
    </w:p>
    <w:p w14:paraId="18660847">
      <w:pPr>
        <w:pStyle w:val="16"/>
        <w:pBdr>
          <w:top w:val="none" w:color="000000" w:sz="0" w:space="0"/>
          <w:left w:val="none" w:color="000000" w:sz="0" w:space="0"/>
          <w:bottom w:val="none" w:color="000000" w:sz="0" w:space="29"/>
          <w:right w:val="none" w:color="000000" w:sz="0" w:space="10"/>
        </w:pBdr>
        <w:autoSpaceDN w:val="0"/>
        <w:spacing w:line="600" w:lineRule="exact"/>
        <w:ind w:firstLine="1600" w:firstLineChars="5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李  英  吉林省农业技术推广总站研究员</w:t>
      </w:r>
    </w:p>
    <w:p w14:paraId="78BF30D3">
      <w:pPr>
        <w:pStyle w:val="16"/>
        <w:pBdr>
          <w:top w:val="none" w:color="000000" w:sz="0" w:space="0"/>
          <w:left w:val="none" w:color="000000" w:sz="0" w:space="0"/>
          <w:bottom w:val="none" w:color="000000" w:sz="0" w:space="29"/>
          <w:right w:val="none" w:color="000000" w:sz="0" w:space="10"/>
        </w:pBdr>
        <w:autoSpaceDN w:val="0"/>
        <w:spacing w:line="600" w:lineRule="exact"/>
        <w:ind w:firstLine="1600" w:firstLineChars="500"/>
        <w:rPr>
          <w:rFonts w:hint="default" w:ascii="Times New Roman" w:hAnsi="Times New Roman" w:eastAsia="仿宋_GB2312" w:cs="Times New Roman"/>
          <w:sz w:val="32"/>
          <w:szCs w:val="32"/>
        </w:rPr>
        <w:sectPr>
          <w:footerReference r:id="rId3" w:type="default"/>
          <w:pgSz w:w="11906" w:h="16838"/>
          <w:pgMar w:top="1701" w:right="1417" w:bottom="1701" w:left="1417" w:header="851" w:footer="992" w:gutter="0"/>
          <w:cols w:space="0" w:num="1"/>
          <w:docGrid w:type="lines" w:linePitch="312" w:charSpace="0"/>
        </w:sectPr>
      </w:pPr>
      <w:r>
        <w:rPr>
          <w:rFonts w:hint="default" w:ascii="Times New Roman" w:hAnsi="Times New Roman" w:eastAsia="仿宋_GB2312" w:cs="Times New Roman"/>
          <w:sz w:val="32"/>
          <w:szCs w:val="32"/>
        </w:rPr>
        <w:t>张  伟  吉林省农科院植保所副研究员</w:t>
      </w:r>
    </w:p>
    <w:p w14:paraId="2D9B465D">
      <w:pPr>
        <w:pStyle w:val="16"/>
        <w:pBdr>
          <w:top w:val="none" w:color="000000" w:sz="0" w:space="0"/>
          <w:left w:val="none" w:color="000000" w:sz="0" w:space="0"/>
          <w:bottom w:val="none" w:color="000000" w:sz="0" w:space="29"/>
          <w:right w:val="none" w:color="000000" w:sz="0" w:space="10"/>
        </w:pBdr>
        <w:autoSpaceDN w:val="0"/>
        <w:spacing w:line="600" w:lineRule="exac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附件2</w:t>
      </w:r>
    </w:p>
    <w:p w14:paraId="5E566149">
      <w:pPr>
        <w:pStyle w:val="16"/>
        <w:pBdr>
          <w:top w:val="none" w:color="000000" w:sz="0" w:space="0"/>
          <w:left w:val="none" w:color="000000" w:sz="0" w:space="0"/>
          <w:bottom w:val="none" w:color="000000" w:sz="0" w:space="29"/>
          <w:right w:val="none" w:color="000000" w:sz="0" w:space="10"/>
        </w:pBdr>
        <w:autoSpaceDN w:val="0"/>
        <w:spacing w:line="600" w:lineRule="exact"/>
        <w:jc w:val="center"/>
        <w:rPr>
          <w:rFonts w:hint="default" w:ascii="Times New Roman" w:hAnsi="Times New Roman" w:eastAsia="方正小标宋简体" w:cs="Times New Roman"/>
          <w:sz w:val="44"/>
          <w:szCs w:val="44"/>
        </w:rPr>
      </w:pPr>
    </w:p>
    <w:p w14:paraId="0BB7D525">
      <w:pPr>
        <w:pStyle w:val="16"/>
        <w:pBdr>
          <w:top w:val="none" w:color="000000" w:sz="0" w:space="0"/>
          <w:left w:val="none" w:color="000000" w:sz="0" w:space="0"/>
          <w:bottom w:val="none" w:color="000000" w:sz="0" w:space="29"/>
          <w:right w:val="none" w:color="000000" w:sz="0" w:space="10"/>
        </w:pBdr>
        <w:autoSpaceDN w:val="0"/>
        <w:spacing w:line="600" w:lineRule="exact"/>
        <w:jc w:val="center"/>
        <w:outlineLvl w:val="0"/>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202</w:t>
      </w:r>
      <w:r>
        <w:rPr>
          <w:rFonts w:hint="default" w:ascii="Times New Roman" w:hAnsi="Times New Roman" w:eastAsia="方正小标宋简体" w:cs="Times New Roman"/>
          <w:sz w:val="44"/>
          <w:szCs w:val="44"/>
          <w:lang w:val="en-US" w:eastAsia="zh-CN"/>
        </w:rPr>
        <w:t>6</w:t>
      </w:r>
      <w:r>
        <w:rPr>
          <w:rFonts w:hint="default" w:ascii="Times New Roman" w:hAnsi="Times New Roman" w:eastAsia="方正小标宋简体" w:cs="Times New Roman"/>
          <w:sz w:val="44"/>
          <w:szCs w:val="44"/>
        </w:rPr>
        <w:t>年中央财政农业主体能力提升资金（大豆</w:t>
      </w:r>
    </w:p>
    <w:p w14:paraId="44E22A13">
      <w:pPr>
        <w:pStyle w:val="16"/>
        <w:pBdr>
          <w:top w:val="none" w:color="000000" w:sz="0" w:space="0"/>
          <w:left w:val="none" w:color="000000" w:sz="0" w:space="0"/>
          <w:bottom w:val="none" w:color="000000" w:sz="0" w:space="29"/>
          <w:right w:val="none" w:color="000000" w:sz="0" w:space="10"/>
        </w:pBdr>
        <w:autoSpaceDN w:val="0"/>
        <w:spacing w:line="600" w:lineRule="exact"/>
        <w:jc w:val="center"/>
        <w:outlineLvl w:val="0"/>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种子包衣）项目任务分配表</w:t>
      </w:r>
    </w:p>
    <w:p w14:paraId="29DE3829">
      <w:pPr>
        <w:pStyle w:val="16"/>
        <w:pBdr>
          <w:top w:val="none" w:color="000000" w:sz="0" w:space="0"/>
          <w:left w:val="none" w:color="000000" w:sz="0" w:space="0"/>
          <w:bottom w:val="none" w:color="000000" w:sz="0" w:space="29"/>
          <w:right w:val="none" w:color="000000" w:sz="0" w:space="10"/>
        </w:pBdr>
        <w:autoSpaceDN w:val="0"/>
        <w:spacing w:line="600" w:lineRule="exact"/>
        <w:jc w:val="center"/>
        <w:rPr>
          <w:rFonts w:hint="default" w:ascii="Times New Roman" w:hAnsi="Times New Roman" w:eastAsia="方正小标宋简体" w:cs="Times New Roman"/>
          <w:sz w:val="44"/>
          <w:szCs w:val="44"/>
        </w:rPr>
      </w:pPr>
    </w:p>
    <w:tbl>
      <w:tblPr>
        <w:tblStyle w:val="9"/>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37"/>
        <w:gridCol w:w="3140"/>
        <w:gridCol w:w="3004"/>
      </w:tblGrid>
      <w:tr w14:paraId="107C3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0" w:type="pct"/>
          </w:tcPr>
          <w:p w14:paraId="1CC0F86F">
            <w:pPr>
              <w:pStyle w:val="16"/>
              <w:autoSpaceDN w:val="0"/>
              <w:spacing w:line="600" w:lineRule="exact"/>
              <w:jc w:val="center"/>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序号</w:t>
            </w:r>
          </w:p>
        </w:tc>
        <w:tc>
          <w:tcPr>
            <w:tcW w:w="1691" w:type="pct"/>
          </w:tcPr>
          <w:p w14:paraId="7DEAF32E">
            <w:pPr>
              <w:pStyle w:val="16"/>
              <w:autoSpaceDN w:val="0"/>
              <w:spacing w:line="600" w:lineRule="exact"/>
              <w:jc w:val="center"/>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县市区</w:t>
            </w:r>
          </w:p>
        </w:tc>
        <w:tc>
          <w:tcPr>
            <w:tcW w:w="1618" w:type="pct"/>
          </w:tcPr>
          <w:p w14:paraId="2B9F2E33">
            <w:pPr>
              <w:pStyle w:val="16"/>
              <w:autoSpaceDN w:val="0"/>
              <w:spacing w:line="600" w:lineRule="exact"/>
              <w:jc w:val="center"/>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任务（万亩）</w:t>
            </w:r>
          </w:p>
        </w:tc>
      </w:tr>
      <w:tr w14:paraId="382BA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0" w:type="pct"/>
          </w:tcPr>
          <w:p w14:paraId="4D511673">
            <w:pPr>
              <w:pStyle w:val="16"/>
              <w:autoSpaceDN w:val="0"/>
              <w:spacing w:line="60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p>
        </w:tc>
        <w:tc>
          <w:tcPr>
            <w:tcW w:w="1691" w:type="pct"/>
          </w:tcPr>
          <w:p w14:paraId="2ABD7409">
            <w:pPr>
              <w:pStyle w:val="16"/>
              <w:autoSpaceDN w:val="0"/>
              <w:spacing w:line="600" w:lineRule="exact"/>
              <w:jc w:val="center"/>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舒兰市</w:t>
            </w:r>
          </w:p>
        </w:tc>
        <w:tc>
          <w:tcPr>
            <w:tcW w:w="1618" w:type="pct"/>
            <w:vAlign w:val="center"/>
          </w:tcPr>
          <w:p w14:paraId="22B4606D">
            <w:pPr>
              <w:pStyle w:val="16"/>
              <w:autoSpaceDN w:val="0"/>
              <w:spacing w:line="600" w:lineRule="exact"/>
              <w:jc w:val="center"/>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6.4</w:t>
            </w:r>
          </w:p>
        </w:tc>
      </w:tr>
      <w:tr w14:paraId="37034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0" w:type="pct"/>
          </w:tcPr>
          <w:p w14:paraId="3857C55B">
            <w:pPr>
              <w:pStyle w:val="16"/>
              <w:autoSpaceDN w:val="0"/>
              <w:spacing w:line="60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w:t>
            </w:r>
          </w:p>
        </w:tc>
        <w:tc>
          <w:tcPr>
            <w:tcW w:w="1691" w:type="pct"/>
            <w:vAlign w:val="top"/>
          </w:tcPr>
          <w:p w14:paraId="56E0FCB8">
            <w:pPr>
              <w:pStyle w:val="16"/>
              <w:autoSpaceDN w:val="0"/>
              <w:spacing w:line="60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梨树县</w:t>
            </w:r>
          </w:p>
        </w:tc>
        <w:tc>
          <w:tcPr>
            <w:tcW w:w="1618" w:type="pct"/>
            <w:vAlign w:val="center"/>
          </w:tcPr>
          <w:p w14:paraId="73A26013">
            <w:pPr>
              <w:pStyle w:val="16"/>
              <w:autoSpaceDN w:val="0"/>
              <w:spacing w:line="600" w:lineRule="exact"/>
              <w:jc w:val="center"/>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14.9</w:t>
            </w:r>
          </w:p>
        </w:tc>
      </w:tr>
      <w:tr w14:paraId="0346F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0" w:type="pct"/>
          </w:tcPr>
          <w:p w14:paraId="13673CAE">
            <w:pPr>
              <w:pStyle w:val="16"/>
              <w:autoSpaceDN w:val="0"/>
              <w:spacing w:line="60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w:t>
            </w:r>
          </w:p>
        </w:tc>
        <w:tc>
          <w:tcPr>
            <w:tcW w:w="1691" w:type="pct"/>
            <w:vAlign w:val="top"/>
          </w:tcPr>
          <w:p w14:paraId="3B66C08C">
            <w:pPr>
              <w:pStyle w:val="16"/>
              <w:autoSpaceDN w:val="0"/>
              <w:spacing w:line="60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伊通县</w:t>
            </w:r>
          </w:p>
        </w:tc>
        <w:tc>
          <w:tcPr>
            <w:tcW w:w="1618" w:type="pct"/>
            <w:vAlign w:val="center"/>
          </w:tcPr>
          <w:p w14:paraId="70FE5A2E">
            <w:pPr>
              <w:pStyle w:val="16"/>
              <w:autoSpaceDN w:val="0"/>
              <w:spacing w:line="600" w:lineRule="exact"/>
              <w:jc w:val="center"/>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1.4</w:t>
            </w:r>
          </w:p>
        </w:tc>
      </w:tr>
      <w:tr w14:paraId="304AE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0" w:type="pct"/>
          </w:tcPr>
          <w:p w14:paraId="68F1F4F7">
            <w:pPr>
              <w:pStyle w:val="16"/>
              <w:autoSpaceDN w:val="0"/>
              <w:spacing w:line="60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w:t>
            </w:r>
          </w:p>
        </w:tc>
        <w:tc>
          <w:tcPr>
            <w:tcW w:w="1691" w:type="pct"/>
          </w:tcPr>
          <w:p w14:paraId="4E944CC9">
            <w:pPr>
              <w:pStyle w:val="16"/>
              <w:autoSpaceDN w:val="0"/>
              <w:spacing w:line="600" w:lineRule="exact"/>
              <w:jc w:val="center"/>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抚松县</w:t>
            </w:r>
          </w:p>
        </w:tc>
        <w:tc>
          <w:tcPr>
            <w:tcW w:w="1618" w:type="pct"/>
            <w:vAlign w:val="center"/>
          </w:tcPr>
          <w:p w14:paraId="5610FAFB">
            <w:pPr>
              <w:pStyle w:val="16"/>
              <w:autoSpaceDN w:val="0"/>
              <w:spacing w:line="600" w:lineRule="exact"/>
              <w:jc w:val="center"/>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4.8</w:t>
            </w:r>
          </w:p>
        </w:tc>
      </w:tr>
      <w:tr w14:paraId="64F52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0" w:type="pct"/>
          </w:tcPr>
          <w:p w14:paraId="404286BE">
            <w:pPr>
              <w:pStyle w:val="16"/>
              <w:autoSpaceDN w:val="0"/>
              <w:spacing w:line="60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w:t>
            </w:r>
          </w:p>
        </w:tc>
        <w:tc>
          <w:tcPr>
            <w:tcW w:w="1691" w:type="pct"/>
            <w:vAlign w:val="top"/>
          </w:tcPr>
          <w:p w14:paraId="21193994">
            <w:pPr>
              <w:pStyle w:val="16"/>
              <w:autoSpaceDN w:val="0"/>
              <w:spacing w:line="600" w:lineRule="exact"/>
              <w:jc w:val="center"/>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sz w:val="32"/>
                <w:szCs w:val="32"/>
                <w:lang w:eastAsia="zh-CN"/>
              </w:rPr>
              <w:t>松原市本级</w:t>
            </w:r>
          </w:p>
        </w:tc>
        <w:tc>
          <w:tcPr>
            <w:tcW w:w="1618" w:type="pct"/>
            <w:vAlign w:val="center"/>
          </w:tcPr>
          <w:p w14:paraId="1A8B0713">
            <w:pPr>
              <w:pStyle w:val="16"/>
              <w:autoSpaceDN w:val="0"/>
              <w:spacing w:line="600" w:lineRule="exact"/>
              <w:jc w:val="center"/>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val="en-US" w:eastAsia="zh-CN"/>
              </w:rPr>
              <w:t>1</w:t>
            </w:r>
          </w:p>
        </w:tc>
      </w:tr>
      <w:tr w14:paraId="70053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0" w:type="pct"/>
          </w:tcPr>
          <w:p w14:paraId="6F37A1A2">
            <w:pPr>
              <w:pStyle w:val="16"/>
              <w:autoSpaceDN w:val="0"/>
              <w:spacing w:line="60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w:t>
            </w:r>
          </w:p>
        </w:tc>
        <w:tc>
          <w:tcPr>
            <w:tcW w:w="1691" w:type="pct"/>
            <w:vAlign w:val="top"/>
          </w:tcPr>
          <w:p w14:paraId="6AA7A606">
            <w:pPr>
              <w:pStyle w:val="16"/>
              <w:autoSpaceDN w:val="0"/>
              <w:spacing w:line="600" w:lineRule="exact"/>
              <w:jc w:val="center"/>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sz w:val="32"/>
                <w:szCs w:val="32"/>
              </w:rPr>
              <w:t>长岭县</w:t>
            </w:r>
          </w:p>
        </w:tc>
        <w:tc>
          <w:tcPr>
            <w:tcW w:w="1618" w:type="pct"/>
            <w:vAlign w:val="center"/>
          </w:tcPr>
          <w:p w14:paraId="0E715559">
            <w:pPr>
              <w:pStyle w:val="16"/>
              <w:autoSpaceDN w:val="0"/>
              <w:spacing w:line="600" w:lineRule="exact"/>
              <w:jc w:val="center"/>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15.9</w:t>
            </w:r>
          </w:p>
        </w:tc>
      </w:tr>
      <w:tr w14:paraId="7F8FA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0" w:type="pct"/>
          </w:tcPr>
          <w:p w14:paraId="3C29A3F8">
            <w:pPr>
              <w:pStyle w:val="16"/>
              <w:autoSpaceDN w:val="0"/>
              <w:spacing w:line="60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7</w:t>
            </w:r>
          </w:p>
        </w:tc>
        <w:tc>
          <w:tcPr>
            <w:tcW w:w="1691" w:type="pct"/>
            <w:vAlign w:val="top"/>
          </w:tcPr>
          <w:p w14:paraId="31DACED8">
            <w:pPr>
              <w:pStyle w:val="16"/>
              <w:autoSpaceDN w:val="0"/>
              <w:spacing w:line="600" w:lineRule="exact"/>
              <w:jc w:val="center"/>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sz w:val="32"/>
                <w:szCs w:val="32"/>
              </w:rPr>
              <w:t>前郭县</w:t>
            </w:r>
          </w:p>
        </w:tc>
        <w:tc>
          <w:tcPr>
            <w:tcW w:w="1618" w:type="pct"/>
            <w:vAlign w:val="center"/>
          </w:tcPr>
          <w:p w14:paraId="015FF129">
            <w:pPr>
              <w:pStyle w:val="16"/>
              <w:autoSpaceDN w:val="0"/>
              <w:spacing w:line="600" w:lineRule="exact"/>
              <w:jc w:val="center"/>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12.4</w:t>
            </w:r>
          </w:p>
        </w:tc>
      </w:tr>
      <w:tr w14:paraId="37C7F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0" w:type="pct"/>
          </w:tcPr>
          <w:p w14:paraId="05579754">
            <w:pPr>
              <w:pStyle w:val="16"/>
              <w:autoSpaceDN w:val="0"/>
              <w:spacing w:line="60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8</w:t>
            </w:r>
          </w:p>
        </w:tc>
        <w:tc>
          <w:tcPr>
            <w:tcW w:w="1691" w:type="pct"/>
            <w:vAlign w:val="top"/>
          </w:tcPr>
          <w:p w14:paraId="1D5F6F82">
            <w:pPr>
              <w:pStyle w:val="16"/>
              <w:autoSpaceDN w:val="0"/>
              <w:spacing w:line="600" w:lineRule="exact"/>
              <w:jc w:val="center"/>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sz w:val="32"/>
                <w:szCs w:val="32"/>
              </w:rPr>
              <w:t>扶余市</w:t>
            </w:r>
          </w:p>
        </w:tc>
        <w:tc>
          <w:tcPr>
            <w:tcW w:w="1618" w:type="pct"/>
            <w:vAlign w:val="center"/>
          </w:tcPr>
          <w:p w14:paraId="7BF484D1">
            <w:pPr>
              <w:pStyle w:val="16"/>
              <w:autoSpaceDN w:val="0"/>
              <w:spacing w:line="600" w:lineRule="exact"/>
              <w:jc w:val="center"/>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11.6</w:t>
            </w:r>
          </w:p>
        </w:tc>
      </w:tr>
      <w:tr w14:paraId="1133D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90" w:type="pct"/>
          </w:tcPr>
          <w:p w14:paraId="79E31F96">
            <w:pPr>
              <w:pStyle w:val="16"/>
              <w:autoSpaceDN w:val="0"/>
              <w:spacing w:line="60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9</w:t>
            </w:r>
          </w:p>
        </w:tc>
        <w:tc>
          <w:tcPr>
            <w:tcW w:w="1691" w:type="pct"/>
          </w:tcPr>
          <w:p w14:paraId="1341C802">
            <w:pPr>
              <w:pStyle w:val="16"/>
              <w:autoSpaceDN w:val="0"/>
              <w:spacing w:line="600" w:lineRule="exact"/>
              <w:jc w:val="center"/>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通榆县</w:t>
            </w:r>
          </w:p>
        </w:tc>
        <w:tc>
          <w:tcPr>
            <w:tcW w:w="1618" w:type="pct"/>
            <w:vAlign w:val="center"/>
          </w:tcPr>
          <w:p w14:paraId="52EC80D7">
            <w:pPr>
              <w:pStyle w:val="16"/>
              <w:autoSpaceDN w:val="0"/>
              <w:spacing w:line="600" w:lineRule="exact"/>
              <w:jc w:val="center"/>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11.2</w:t>
            </w:r>
          </w:p>
        </w:tc>
      </w:tr>
      <w:tr w14:paraId="6958C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0" w:type="pct"/>
          </w:tcPr>
          <w:p w14:paraId="7C9AC921">
            <w:pPr>
              <w:pStyle w:val="16"/>
              <w:autoSpaceDN w:val="0"/>
              <w:spacing w:line="60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10</w:t>
            </w:r>
          </w:p>
        </w:tc>
        <w:tc>
          <w:tcPr>
            <w:tcW w:w="1691" w:type="pct"/>
            <w:vAlign w:val="top"/>
          </w:tcPr>
          <w:p w14:paraId="108EE045">
            <w:pPr>
              <w:pStyle w:val="16"/>
              <w:autoSpaceDN w:val="0"/>
              <w:spacing w:line="600" w:lineRule="exact"/>
              <w:jc w:val="center"/>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sz w:val="32"/>
                <w:szCs w:val="32"/>
              </w:rPr>
              <w:t>延吉市</w:t>
            </w:r>
          </w:p>
        </w:tc>
        <w:tc>
          <w:tcPr>
            <w:tcW w:w="1618" w:type="pct"/>
            <w:vAlign w:val="center"/>
          </w:tcPr>
          <w:p w14:paraId="58C00305">
            <w:pPr>
              <w:pStyle w:val="16"/>
              <w:autoSpaceDN w:val="0"/>
              <w:spacing w:line="600" w:lineRule="exact"/>
              <w:jc w:val="center"/>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val="en-US" w:eastAsia="zh-CN"/>
              </w:rPr>
              <w:t>2</w:t>
            </w:r>
          </w:p>
        </w:tc>
      </w:tr>
      <w:tr w14:paraId="143BC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0" w:type="pct"/>
          </w:tcPr>
          <w:p w14:paraId="082246B7">
            <w:pPr>
              <w:pStyle w:val="16"/>
              <w:autoSpaceDN w:val="0"/>
              <w:spacing w:line="60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11</w:t>
            </w:r>
          </w:p>
        </w:tc>
        <w:tc>
          <w:tcPr>
            <w:tcW w:w="1691" w:type="pct"/>
            <w:vAlign w:val="top"/>
          </w:tcPr>
          <w:p w14:paraId="17726E6E">
            <w:pPr>
              <w:pStyle w:val="16"/>
              <w:autoSpaceDN w:val="0"/>
              <w:spacing w:line="600" w:lineRule="exact"/>
              <w:jc w:val="center"/>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sz w:val="32"/>
                <w:szCs w:val="32"/>
              </w:rPr>
              <w:t>汪清县</w:t>
            </w:r>
          </w:p>
        </w:tc>
        <w:tc>
          <w:tcPr>
            <w:tcW w:w="1618" w:type="pct"/>
            <w:vAlign w:val="center"/>
          </w:tcPr>
          <w:p w14:paraId="2AE6A30E">
            <w:pPr>
              <w:pStyle w:val="16"/>
              <w:autoSpaceDN w:val="0"/>
              <w:spacing w:line="600" w:lineRule="exact"/>
              <w:jc w:val="center"/>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14.2</w:t>
            </w:r>
          </w:p>
        </w:tc>
      </w:tr>
      <w:tr w14:paraId="6FE4C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0" w:type="pct"/>
          </w:tcPr>
          <w:p w14:paraId="24276210">
            <w:pPr>
              <w:pStyle w:val="16"/>
              <w:autoSpaceDN w:val="0"/>
              <w:spacing w:line="60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12</w:t>
            </w:r>
          </w:p>
        </w:tc>
        <w:tc>
          <w:tcPr>
            <w:tcW w:w="1691" w:type="pct"/>
            <w:vAlign w:val="top"/>
          </w:tcPr>
          <w:p w14:paraId="3F7BA51F">
            <w:pPr>
              <w:pStyle w:val="16"/>
              <w:autoSpaceDN w:val="0"/>
              <w:spacing w:line="600" w:lineRule="exact"/>
              <w:jc w:val="center"/>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sz w:val="32"/>
                <w:szCs w:val="32"/>
              </w:rPr>
              <w:t>梅河口市</w:t>
            </w:r>
          </w:p>
        </w:tc>
        <w:tc>
          <w:tcPr>
            <w:tcW w:w="1618" w:type="pct"/>
            <w:vAlign w:val="center"/>
          </w:tcPr>
          <w:p w14:paraId="4A9D86FB">
            <w:pPr>
              <w:pStyle w:val="16"/>
              <w:autoSpaceDN w:val="0"/>
              <w:spacing w:line="600" w:lineRule="exact"/>
              <w:jc w:val="center"/>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1.2</w:t>
            </w:r>
          </w:p>
        </w:tc>
      </w:tr>
      <w:tr w14:paraId="68E62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81" w:type="pct"/>
            <w:gridSpan w:val="2"/>
          </w:tcPr>
          <w:p w14:paraId="669CF431">
            <w:pPr>
              <w:pStyle w:val="16"/>
              <w:autoSpaceDN w:val="0"/>
              <w:spacing w:line="60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全省</w:t>
            </w:r>
          </w:p>
        </w:tc>
        <w:tc>
          <w:tcPr>
            <w:tcW w:w="1618" w:type="pct"/>
          </w:tcPr>
          <w:p w14:paraId="38205149">
            <w:pPr>
              <w:pStyle w:val="16"/>
              <w:autoSpaceDN w:val="0"/>
              <w:spacing w:line="600" w:lineRule="exact"/>
              <w:jc w:val="center"/>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97</w:t>
            </w:r>
          </w:p>
        </w:tc>
      </w:tr>
    </w:tbl>
    <w:p w14:paraId="6096C6A4">
      <w:pPr>
        <w:pStyle w:val="16"/>
        <w:pBdr>
          <w:top w:val="none" w:color="000000" w:sz="0" w:space="0"/>
          <w:left w:val="none" w:color="000000" w:sz="0" w:space="0"/>
          <w:bottom w:val="none" w:color="000000" w:sz="0" w:space="29"/>
          <w:right w:val="none" w:color="000000" w:sz="0" w:space="10"/>
        </w:pBdr>
        <w:autoSpaceDN w:val="0"/>
        <w:spacing w:line="600" w:lineRule="exact"/>
        <w:jc w:val="both"/>
        <w:rPr>
          <w:rFonts w:hint="default" w:ascii="Times New Roman" w:hAnsi="Times New Roman" w:eastAsia="方正小标宋简体" w:cs="Times New Roman"/>
          <w:sz w:val="44"/>
          <w:szCs w:val="44"/>
        </w:rPr>
      </w:pPr>
    </w:p>
    <w:p w14:paraId="22B855D6">
      <w:pPr>
        <w:pStyle w:val="16"/>
        <w:pBdr>
          <w:top w:val="none" w:color="000000" w:sz="0" w:space="0"/>
          <w:left w:val="none" w:color="000000" w:sz="0" w:space="0"/>
          <w:bottom w:val="none" w:color="000000" w:sz="0" w:space="29"/>
          <w:right w:val="none" w:color="000000" w:sz="0" w:space="10"/>
        </w:pBdr>
        <w:autoSpaceDN w:val="0"/>
        <w:spacing w:line="60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ab/>
      </w:r>
      <w:r>
        <w:rPr>
          <w:rFonts w:hint="default" w:ascii="Times New Roman" w:hAnsi="Times New Roman" w:eastAsia="仿宋_GB2312" w:cs="Times New Roman"/>
          <w:sz w:val="32"/>
          <w:szCs w:val="32"/>
        </w:rPr>
        <w:t xml:space="preserve"> </w:t>
      </w:r>
    </w:p>
    <w:p w14:paraId="3A476372">
      <w:pPr>
        <w:pStyle w:val="16"/>
        <w:pBdr>
          <w:top w:val="none" w:color="000000" w:sz="0" w:space="0"/>
          <w:left w:val="none" w:color="000000" w:sz="0" w:space="0"/>
          <w:bottom w:val="none" w:color="000000" w:sz="0" w:space="29"/>
          <w:right w:val="none" w:color="000000" w:sz="0" w:space="10"/>
        </w:pBdr>
        <w:autoSpaceDN w:val="0"/>
        <w:spacing w:line="600" w:lineRule="exact"/>
        <w:jc w:val="center"/>
        <w:rPr>
          <w:rFonts w:hint="default" w:ascii="Times New Roman" w:hAnsi="Times New Roman" w:eastAsia="仿宋_GB2312" w:cs="Times New Roman"/>
          <w:sz w:val="32"/>
          <w:szCs w:val="32"/>
        </w:rPr>
      </w:pPr>
    </w:p>
    <w:p w14:paraId="326FE210">
      <w:pPr>
        <w:pStyle w:val="16"/>
        <w:pBdr>
          <w:top w:val="none" w:color="000000" w:sz="0" w:space="0"/>
          <w:left w:val="none" w:color="000000" w:sz="0" w:space="0"/>
          <w:bottom w:val="none" w:color="000000" w:sz="0" w:space="29"/>
          <w:right w:val="none" w:color="000000" w:sz="0" w:space="10"/>
        </w:pBdr>
        <w:autoSpaceDN/>
        <w:spacing w:line="600" w:lineRule="exact"/>
        <w:jc w:val="both"/>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附件3</w:t>
      </w:r>
    </w:p>
    <w:p w14:paraId="43BA4F4A">
      <w:pPr>
        <w:keepNext w:val="0"/>
        <w:keepLines w:val="0"/>
        <w:pageBreakBefore w:val="0"/>
        <w:widowControl w:val="0"/>
        <w:kinsoku/>
        <w:wordWrap/>
        <w:overflowPunct/>
        <w:topLinePunct w:val="0"/>
        <w:autoSpaceDE/>
        <w:autoSpaceDN/>
        <w:bidi w:val="0"/>
        <w:adjustRightInd w:val="0"/>
        <w:snapToGrid w:val="0"/>
        <w:spacing w:line="600" w:lineRule="exact"/>
        <w:ind w:left="0" w:leftChars="0"/>
        <w:jc w:val="center"/>
        <w:textAlignment w:val="auto"/>
        <w:rPr>
          <w:rFonts w:hint="default" w:ascii="Times New Roman" w:hAnsi="Times New Roman" w:eastAsia="方正小标宋_GBK" w:cs="Times New Roman"/>
          <w:b w:val="0"/>
          <w:bCs/>
          <w:color w:val="auto"/>
          <w:sz w:val="44"/>
          <w:szCs w:val="44"/>
          <w:lang w:val="en-US"/>
        </w:rPr>
      </w:pPr>
      <w:r>
        <w:rPr>
          <w:rFonts w:hint="default" w:ascii="Times New Roman" w:hAnsi="Times New Roman" w:eastAsia="方正小标宋_GBK" w:cs="Times New Roman"/>
          <w:b w:val="0"/>
          <w:bCs/>
          <w:color w:val="auto"/>
          <w:sz w:val="44"/>
          <w:szCs w:val="44"/>
          <w:lang w:val="en-US" w:eastAsia="zh-CN"/>
        </w:rPr>
        <w:t>2026年吉林省大豆种子包衣技术指导方案</w:t>
      </w:r>
    </w:p>
    <w:p w14:paraId="42157172">
      <w:pPr>
        <w:keepNext w:val="0"/>
        <w:keepLines w:val="0"/>
        <w:pageBreakBefore w:val="0"/>
        <w:widowControl w:val="0"/>
        <w:kinsoku/>
        <w:wordWrap/>
        <w:overflowPunct/>
        <w:topLinePunct w:val="0"/>
        <w:autoSpaceDE/>
        <w:autoSpaceDN/>
        <w:bidi w:val="0"/>
        <w:adjustRightInd w:val="0"/>
        <w:snapToGrid w:val="0"/>
        <w:spacing w:line="600" w:lineRule="exact"/>
        <w:ind w:left="0" w:leftChars="0" w:firstLine="640" w:firstLineChars="200"/>
        <w:jc w:val="center"/>
        <w:textAlignment w:val="auto"/>
        <w:rPr>
          <w:rFonts w:hint="default" w:ascii="Times New Roman" w:hAnsi="Times New Roman" w:eastAsia="仿宋_GB2312" w:cs="Times New Roman"/>
          <w:color w:val="auto"/>
          <w:sz w:val="32"/>
          <w:szCs w:val="32"/>
        </w:rPr>
      </w:pPr>
    </w:p>
    <w:p w14:paraId="12503535">
      <w:pPr>
        <w:keepNext w:val="0"/>
        <w:keepLines w:val="0"/>
        <w:pageBreakBefore w:val="0"/>
        <w:widowControl w:val="0"/>
        <w:kinsoku/>
        <w:wordWrap/>
        <w:overflowPunct/>
        <w:topLinePunct w:val="0"/>
        <w:autoSpaceDE/>
        <w:autoSpaceDN/>
        <w:bidi w:val="0"/>
        <w:adjustRightInd w:val="0"/>
        <w:snapToGrid w:val="0"/>
        <w:spacing w:line="600" w:lineRule="exact"/>
        <w:ind w:left="0" w:leftChars="0"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i w:val="0"/>
          <w:iCs w:val="0"/>
          <w:caps w:val="0"/>
          <w:color w:val="000000"/>
          <w:spacing w:val="0"/>
          <w:sz w:val="32"/>
          <w:szCs w:val="32"/>
          <w:shd w:val="clear" w:fill="FFFFFF"/>
        </w:rPr>
        <w:t>为进一步提高</w:t>
      </w:r>
      <w:r>
        <w:rPr>
          <w:rFonts w:hint="default" w:ascii="Times New Roman" w:hAnsi="Times New Roman" w:eastAsia="仿宋_GB2312" w:cs="Times New Roman"/>
          <w:i w:val="0"/>
          <w:iCs w:val="0"/>
          <w:caps w:val="0"/>
          <w:color w:val="000000"/>
          <w:spacing w:val="0"/>
          <w:sz w:val="32"/>
          <w:szCs w:val="32"/>
          <w:shd w:val="clear" w:fill="FFFFFF"/>
          <w:lang w:val="en-US" w:eastAsia="zh-CN"/>
        </w:rPr>
        <w:t>大豆苗期对</w:t>
      </w:r>
      <w:r>
        <w:rPr>
          <w:rFonts w:hint="default" w:ascii="Times New Roman" w:hAnsi="Times New Roman" w:eastAsia="仿宋_GB2312" w:cs="Times New Roman"/>
          <w:i w:val="0"/>
          <w:iCs w:val="0"/>
          <w:caps w:val="0"/>
          <w:color w:val="000000"/>
          <w:spacing w:val="0"/>
          <w:sz w:val="32"/>
          <w:szCs w:val="32"/>
          <w:shd w:val="clear" w:fill="FFFFFF"/>
        </w:rPr>
        <w:t>病虫害</w:t>
      </w:r>
      <w:r>
        <w:rPr>
          <w:rFonts w:hint="default" w:ascii="Times New Roman" w:hAnsi="Times New Roman" w:eastAsia="仿宋_GB2312" w:cs="Times New Roman"/>
          <w:i w:val="0"/>
          <w:iCs w:val="0"/>
          <w:caps w:val="0"/>
          <w:color w:val="000000"/>
          <w:spacing w:val="0"/>
          <w:sz w:val="32"/>
          <w:szCs w:val="32"/>
          <w:shd w:val="clear" w:fill="FFFFFF"/>
          <w:lang w:val="en-US" w:eastAsia="zh-CN"/>
        </w:rPr>
        <w:t>的</w:t>
      </w:r>
      <w:r>
        <w:rPr>
          <w:rFonts w:hint="default" w:ascii="Times New Roman" w:hAnsi="Times New Roman" w:eastAsia="仿宋_GB2312" w:cs="Times New Roman"/>
          <w:i w:val="0"/>
          <w:iCs w:val="0"/>
          <w:caps w:val="0"/>
          <w:color w:val="000000"/>
          <w:spacing w:val="0"/>
          <w:sz w:val="32"/>
          <w:szCs w:val="32"/>
          <w:shd w:val="clear" w:fill="FFFFFF"/>
        </w:rPr>
        <w:t>防控能力，推动</w:t>
      </w:r>
      <w:r>
        <w:rPr>
          <w:rFonts w:hint="default" w:ascii="Times New Roman" w:hAnsi="Times New Roman" w:eastAsia="仿宋_GB2312" w:cs="Times New Roman"/>
          <w:i w:val="0"/>
          <w:iCs w:val="0"/>
          <w:caps w:val="0"/>
          <w:color w:val="000000"/>
          <w:spacing w:val="0"/>
          <w:sz w:val="32"/>
          <w:szCs w:val="32"/>
          <w:shd w:val="clear" w:fill="FFFFFF"/>
          <w:lang w:val="en-US" w:eastAsia="zh-CN"/>
        </w:rPr>
        <w:t>全省</w:t>
      </w:r>
      <w:r>
        <w:rPr>
          <w:rFonts w:hint="default" w:ascii="Times New Roman" w:hAnsi="Times New Roman" w:eastAsia="仿宋_GB2312" w:cs="Times New Roman"/>
          <w:i w:val="0"/>
          <w:iCs w:val="0"/>
          <w:caps w:val="0"/>
          <w:color w:val="000000"/>
          <w:spacing w:val="0"/>
          <w:sz w:val="32"/>
          <w:szCs w:val="32"/>
          <w:shd w:val="clear" w:fill="FFFFFF"/>
        </w:rPr>
        <w:t>各地落实精选良种、精准用药、适期精播等农艺措施</w:t>
      </w:r>
      <w:r>
        <w:rPr>
          <w:rFonts w:hint="default" w:ascii="Times New Roman" w:hAnsi="Times New Roman" w:eastAsia="仿宋_GB2312" w:cs="Times New Roman"/>
          <w:i w:val="0"/>
          <w:iCs w:val="0"/>
          <w:caps w:val="0"/>
          <w:color w:val="000000"/>
          <w:spacing w:val="0"/>
          <w:sz w:val="32"/>
          <w:szCs w:val="32"/>
          <w:shd w:val="clear" w:fill="FFFFFF"/>
          <w:lang w:eastAsia="zh-CN"/>
        </w:rPr>
        <w:t>，</w:t>
      </w:r>
      <w:r>
        <w:rPr>
          <w:rFonts w:hint="default" w:ascii="Times New Roman" w:hAnsi="Times New Roman" w:eastAsia="仿宋_GB2312" w:cs="Times New Roman"/>
          <w:i w:val="0"/>
          <w:iCs w:val="0"/>
          <w:caps w:val="0"/>
          <w:color w:val="000000"/>
          <w:spacing w:val="0"/>
          <w:sz w:val="32"/>
          <w:szCs w:val="32"/>
          <w:shd w:val="clear" w:fill="FFFFFF"/>
          <w:lang w:val="en-US" w:eastAsia="zh-CN"/>
        </w:rPr>
        <w:t>确保种子包衣效果</w:t>
      </w:r>
      <w:r>
        <w:rPr>
          <w:rFonts w:hint="default" w:ascii="Times New Roman" w:hAnsi="Times New Roman" w:eastAsia="仿宋_GB2312" w:cs="Times New Roman"/>
          <w:i w:val="0"/>
          <w:iCs w:val="0"/>
          <w:caps w:val="0"/>
          <w:color w:val="000000"/>
          <w:spacing w:val="0"/>
          <w:sz w:val="32"/>
          <w:szCs w:val="32"/>
          <w:shd w:val="clear" w:fill="FFFFFF"/>
        </w:rPr>
        <w:t>，</w:t>
      </w:r>
      <w:r>
        <w:rPr>
          <w:rFonts w:hint="default" w:ascii="Times New Roman" w:hAnsi="Times New Roman" w:eastAsia="仿宋_GB2312" w:cs="Times New Roman"/>
          <w:i w:val="0"/>
          <w:iCs w:val="0"/>
          <w:caps w:val="0"/>
          <w:color w:val="000000"/>
          <w:spacing w:val="0"/>
          <w:sz w:val="32"/>
          <w:szCs w:val="32"/>
          <w:shd w:val="clear" w:fill="FFFFFF"/>
          <w:lang w:val="en-US" w:eastAsia="zh-CN"/>
        </w:rPr>
        <w:t>提高播种质量，</w:t>
      </w:r>
      <w:r>
        <w:rPr>
          <w:rFonts w:hint="default" w:ascii="Times New Roman" w:hAnsi="Times New Roman" w:eastAsia="仿宋_GB2312" w:cs="Times New Roman"/>
          <w:color w:val="auto"/>
          <w:sz w:val="32"/>
          <w:szCs w:val="32"/>
          <w:lang w:val="en-US" w:eastAsia="zh-CN"/>
        </w:rPr>
        <w:t>持续巩固提升大豆产能。</w:t>
      </w:r>
      <w:r>
        <w:rPr>
          <w:rFonts w:hint="default" w:ascii="Times New Roman" w:hAnsi="Times New Roman" w:eastAsia="仿宋_GB2312" w:cs="Times New Roman"/>
          <w:color w:val="auto"/>
          <w:sz w:val="32"/>
          <w:szCs w:val="32"/>
        </w:rPr>
        <w:t>特制定本</w:t>
      </w:r>
      <w:r>
        <w:rPr>
          <w:rFonts w:hint="default" w:ascii="Times New Roman" w:hAnsi="Times New Roman" w:eastAsia="仿宋_GB2312" w:cs="Times New Roman"/>
          <w:color w:val="auto"/>
          <w:sz w:val="32"/>
          <w:szCs w:val="32"/>
          <w:lang w:val="en-US" w:eastAsia="zh-CN"/>
        </w:rPr>
        <w:t>技术指导意见</w:t>
      </w:r>
      <w:r>
        <w:rPr>
          <w:rFonts w:hint="default" w:ascii="Times New Roman" w:hAnsi="Times New Roman" w:eastAsia="仿宋_GB2312" w:cs="Times New Roman"/>
          <w:color w:val="auto"/>
          <w:sz w:val="32"/>
          <w:szCs w:val="32"/>
        </w:rPr>
        <w:t>。</w:t>
      </w:r>
    </w:p>
    <w:p w14:paraId="1DF8C835">
      <w:pPr>
        <w:keepNext w:val="0"/>
        <w:keepLines w:val="0"/>
        <w:pageBreakBefore w:val="0"/>
        <w:numPr>
          <w:ilvl w:val="0"/>
          <w:numId w:val="0"/>
        </w:numPr>
        <w:kinsoku/>
        <w:wordWrap/>
        <w:overflowPunct/>
        <w:topLinePunct w:val="0"/>
        <w:autoSpaceDE/>
        <w:autoSpaceDN/>
        <w:bidi w:val="0"/>
        <w:spacing w:line="576" w:lineRule="exact"/>
        <w:ind w:firstLine="640" w:firstLineChars="200"/>
        <w:textAlignment w:val="auto"/>
        <w:rPr>
          <w:rFonts w:hint="default" w:ascii="Times New Roman" w:hAnsi="Times New Roman" w:eastAsia="黑体" w:cs="Times New Roman"/>
          <w:color w:val="auto"/>
          <w:sz w:val="32"/>
          <w:szCs w:val="32"/>
          <w:lang w:val="en-US" w:eastAsia="zh-CN"/>
        </w:rPr>
      </w:pPr>
      <w:r>
        <w:rPr>
          <w:rFonts w:hint="default" w:ascii="Times New Roman" w:hAnsi="Times New Roman" w:eastAsia="黑体" w:cs="Times New Roman"/>
          <w:color w:val="auto"/>
          <w:sz w:val="32"/>
          <w:szCs w:val="32"/>
        </w:rPr>
        <w:t>一、</w:t>
      </w:r>
      <w:r>
        <w:rPr>
          <w:rFonts w:hint="default" w:ascii="Times New Roman" w:hAnsi="Times New Roman" w:eastAsia="黑体" w:cs="Times New Roman"/>
          <w:color w:val="auto"/>
          <w:sz w:val="32"/>
          <w:szCs w:val="32"/>
          <w:lang w:val="en-US" w:eastAsia="zh-CN"/>
        </w:rPr>
        <w:t>精选</w:t>
      </w:r>
      <w:r>
        <w:rPr>
          <w:rFonts w:hint="default" w:ascii="Times New Roman" w:hAnsi="Times New Roman" w:eastAsia="黑体" w:cs="Times New Roman"/>
          <w:color w:val="auto"/>
          <w:sz w:val="32"/>
          <w:szCs w:val="32"/>
        </w:rPr>
        <w:t>良种，</w:t>
      </w:r>
      <w:r>
        <w:rPr>
          <w:rFonts w:hint="default" w:ascii="Times New Roman" w:hAnsi="Times New Roman" w:eastAsia="黑体" w:cs="Times New Roman"/>
          <w:color w:val="auto"/>
          <w:sz w:val="32"/>
          <w:szCs w:val="32"/>
          <w:lang w:val="en-US" w:eastAsia="zh-CN"/>
        </w:rPr>
        <w:t>规范种子处理</w:t>
      </w:r>
    </w:p>
    <w:p w14:paraId="4C71E5ED">
      <w:pPr>
        <w:keepNext w:val="0"/>
        <w:keepLines w:val="0"/>
        <w:pageBreakBefore w:val="0"/>
        <w:widowControl w:val="0"/>
        <w:kinsoku/>
        <w:wordWrap/>
        <w:overflowPunct/>
        <w:topLinePunct w:val="0"/>
        <w:autoSpaceDE/>
        <w:autoSpaceDN/>
        <w:bidi w:val="0"/>
        <w:adjustRightInd w:val="0"/>
        <w:snapToGrid w:val="0"/>
        <w:spacing w:line="600" w:lineRule="exact"/>
        <w:ind w:left="0" w:leftChars="0" w:firstLine="640"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楷体_GB2312" w:cs="Times New Roman"/>
          <w:color w:val="auto"/>
          <w:sz w:val="32"/>
          <w:szCs w:val="32"/>
          <w:lang w:val="en-US" w:eastAsia="zh-CN"/>
        </w:rPr>
        <w:t>（一）种子选择和预处理。</w:t>
      </w:r>
      <w:r>
        <w:rPr>
          <w:rFonts w:hint="default" w:ascii="Times New Roman" w:hAnsi="Times New Roman" w:eastAsia="仿宋_GB2312" w:cs="Times New Roman"/>
          <w:color w:val="auto"/>
          <w:sz w:val="32"/>
          <w:szCs w:val="32"/>
          <w:lang w:val="en-US" w:eastAsia="zh-CN"/>
        </w:rPr>
        <w:t>选择对根腐病、孢囊线虫病、地下害虫、大豆蚜虫等病虫害抗（耐）性强的大豆品种，做好种子的清选、精选，剔除破损、霉变及杂质，确保种子洁净健康。播种前3~5天，选择晴天适当晾晒种子，降低种子含水量。</w:t>
      </w:r>
    </w:p>
    <w:p w14:paraId="51017179">
      <w:pPr>
        <w:keepNext w:val="0"/>
        <w:keepLines w:val="0"/>
        <w:pageBreakBefore w:val="0"/>
        <w:widowControl w:val="0"/>
        <w:kinsoku/>
        <w:wordWrap/>
        <w:overflowPunct/>
        <w:topLinePunct w:val="0"/>
        <w:autoSpaceDE/>
        <w:autoSpaceDN/>
        <w:bidi w:val="0"/>
        <w:adjustRightInd w:val="0"/>
        <w:snapToGrid w:val="0"/>
        <w:spacing w:line="600" w:lineRule="exact"/>
        <w:ind w:left="0" w:leftChars="0"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楷体_GB2312" w:cs="Times New Roman"/>
          <w:color w:val="auto"/>
          <w:sz w:val="32"/>
          <w:szCs w:val="32"/>
          <w:lang w:val="en-US" w:eastAsia="zh-CN"/>
        </w:rPr>
        <w:t>（二）包衣方式。</w:t>
      </w:r>
      <w:r>
        <w:rPr>
          <w:rFonts w:hint="default" w:ascii="Times New Roman" w:hAnsi="Times New Roman" w:eastAsia="仿宋_GB2312" w:cs="Times New Roman"/>
          <w:color w:val="auto"/>
          <w:sz w:val="32"/>
          <w:szCs w:val="32"/>
          <w:lang w:val="en-US" w:eastAsia="zh-CN"/>
        </w:rPr>
        <w:t>可用拌种机等设备或干净容器（桶、袋、膜等）拌种，时间控制在1分钟内，确保每粒种子裹覆药膜，避免过度搅拌而伤种。为防止包衣过程中大豆种子吸水后种皮破裂，发芽率下降，</w:t>
      </w:r>
      <w:r>
        <w:rPr>
          <w:rFonts w:hint="default" w:ascii="Times New Roman" w:hAnsi="Times New Roman" w:eastAsia="仿宋_GB2312" w:cs="Times New Roman"/>
          <w:color w:val="auto"/>
          <w:sz w:val="32"/>
          <w:szCs w:val="32"/>
          <w:highlight w:val="none"/>
          <w:lang w:val="en-US" w:eastAsia="zh-CN"/>
        </w:rPr>
        <w:t>种衣剂原则上不加水（稀释）。若使用两种以上种子处理剂混配，应现配现用，确保混配安全和包衣效果。</w:t>
      </w:r>
    </w:p>
    <w:p w14:paraId="665801FC">
      <w:pPr>
        <w:keepNext w:val="0"/>
        <w:keepLines w:val="0"/>
        <w:pageBreakBefore w:val="0"/>
        <w:widowControl w:val="0"/>
        <w:kinsoku/>
        <w:wordWrap/>
        <w:overflowPunct/>
        <w:topLinePunct w:val="0"/>
        <w:autoSpaceDE/>
        <w:autoSpaceDN/>
        <w:bidi w:val="0"/>
        <w:adjustRightInd w:val="0"/>
        <w:snapToGrid w:val="0"/>
        <w:spacing w:line="600" w:lineRule="exact"/>
        <w:ind w:left="0" w:leftChars="0" w:firstLine="640"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楷体_GB2312" w:cs="Times New Roman"/>
          <w:color w:val="auto"/>
          <w:sz w:val="32"/>
          <w:szCs w:val="32"/>
          <w:lang w:val="en-US" w:eastAsia="zh-CN"/>
        </w:rPr>
        <w:t>（三）包衣后处理。</w:t>
      </w:r>
      <w:r>
        <w:rPr>
          <w:rFonts w:hint="default" w:ascii="Times New Roman" w:hAnsi="Times New Roman" w:eastAsia="仿宋_GB2312" w:cs="Times New Roman"/>
          <w:color w:val="auto"/>
          <w:sz w:val="32"/>
          <w:szCs w:val="32"/>
          <w:lang w:val="en-US" w:eastAsia="zh-CN"/>
        </w:rPr>
        <w:t>包衣种子阴凉通风处摊开，厚度≤5厘米，避免暴晒或高温（＞30℃）导致药膜开裂。干燥后装入透气编织袋，存放于阴凉干燥处备用。种子可随包随播，也可提前包衣，原则上可提前至半年内包衣，避免高温储藏。如接种大豆根瘤菌剂，应先进行药剂包衣（要求包衣药剂含有成膜剂）且阴干（一般2~3天）后再接种根瘤菌剂。</w:t>
      </w:r>
    </w:p>
    <w:p w14:paraId="73697F5D">
      <w:pPr>
        <w:keepNext w:val="0"/>
        <w:keepLines w:val="0"/>
        <w:pageBreakBefore w:val="0"/>
        <w:widowControl w:val="0"/>
        <w:kinsoku/>
        <w:wordWrap/>
        <w:overflowPunct/>
        <w:topLinePunct w:val="0"/>
        <w:autoSpaceDE/>
        <w:autoSpaceDN/>
        <w:bidi w:val="0"/>
        <w:adjustRightInd w:val="0"/>
        <w:snapToGrid w:val="0"/>
        <w:spacing w:line="600" w:lineRule="exact"/>
        <w:ind w:left="0" w:leftChars="0" w:firstLine="640" w:firstLineChars="200"/>
        <w:textAlignment w:val="auto"/>
        <w:rPr>
          <w:rFonts w:hint="default" w:ascii="Times New Roman" w:hAnsi="Times New Roman" w:eastAsia="黑体" w:cs="Times New Roman"/>
          <w:color w:val="auto"/>
          <w:sz w:val="32"/>
          <w:szCs w:val="32"/>
          <w:lang w:val="en-US" w:eastAsia="zh-CN"/>
        </w:rPr>
      </w:pPr>
      <w:r>
        <w:rPr>
          <w:rFonts w:hint="default" w:ascii="Times New Roman" w:hAnsi="Times New Roman" w:eastAsia="黑体" w:cs="Times New Roman"/>
          <w:color w:val="auto"/>
          <w:sz w:val="32"/>
          <w:szCs w:val="32"/>
          <w:lang w:val="en-US" w:eastAsia="zh-CN"/>
        </w:rPr>
        <w:t>二</w:t>
      </w:r>
      <w:r>
        <w:rPr>
          <w:rFonts w:hint="default" w:ascii="Times New Roman" w:hAnsi="Times New Roman" w:eastAsia="黑体" w:cs="Times New Roman"/>
          <w:color w:val="auto"/>
          <w:sz w:val="32"/>
          <w:szCs w:val="32"/>
        </w:rPr>
        <w:t>、</w:t>
      </w:r>
      <w:r>
        <w:rPr>
          <w:rFonts w:hint="default" w:ascii="Times New Roman" w:hAnsi="Times New Roman" w:eastAsia="黑体" w:cs="Times New Roman"/>
          <w:color w:val="auto"/>
          <w:sz w:val="32"/>
          <w:szCs w:val="32"/>
          <w:lang w:val="en-US" w:eastAsia="zh-CN"/>
        </w:rPr>
        <w:t>精准用药，科学防控病虫</w:t>
      </w:r>
    </w:p>
    <w:p w14:paraId="0CB55F8D">
      <w:pPr>
        <w:adjustRightInd w:val="0"/>
        <w:snapToGrid w:val="0"/>
        <w:spacing w:beforeLines="-2147483648" w:afterLines="-2147483648" w:line="600" w:lineRule="exact"/>
        <w:ind w:firstLine="640" w:firstLineChars="200"/>
        <w:jc w:val="left"/>
        <w:rPr>
          <w:rFonts w:hint="default" w:ascii="Times New Roman" w:hAnsi="Times New Roman" w:eastAsia="FangSong_GB2312" w:cs="Times New Roman"/>
          <w:color w:val="auto"/>
          <w:sz w:val="32"/>
          <w:szCs w:val="24"/>
        </w:rPr>
      </w:pPr>
      <w:r>
        <w:rPr>
          <w:rFonts w:hint="default" w:ascii="Times New Roman" w:hAnsi="Times New Roman" w:eastAsia="楷体_GB2312" w:cs="Times New Roman"/>
          <w:color w:val="auto"/>
          <w:sz w:val="32"/>
          <w:szCs w:val="32"/>
          <w:lang w:val="en-US" w:eastAsia="zh-CN"/>
        </w:rPr>
        <w:t>（一）药剂选择。</w:t>
      </w:r>
      <w:r>
        <w:rPr>
          <w:rFonts w:hint="default" w:ascii="Times New Roman" w:hAnsi="Times New Roman" w:eastAsia="仿宋_GB2312" w:cs="Times New Roman"/>
          <w:b w:val="0"/>
          <w:bCs w:val="0"/>
          <w:color w:val="auto"/>
          <w:sz w:val="32"/>
          <w:szCs w:val="32"/>
          <w:highlight w:val="none"/>
          <w:lang w:val="en-US" w:eastAsia="zh-CN"/>
        </w:rPr>
        <w:t>各地根据当地病虫害情况选择合适的种子处理剂拌种包衣。</w:t>
      </w:r>
      <w:r>
        <w:rPr>
          <w:rFonts w:hint="default" w:ascii="Times New Roman" w:hAnsi="Times New Roman" w:eastAsia="仿宋_GB2312" w:cs="Times New Roman"/>
          <w:b/>
          <w:bCs/>
          <w:color w:val="auto"/>
          <w:sz w:val="32"/>
          <w:szCs w:val="32"/>
          <w:highlight w:val="none"/>
          <w:lang w:val="en-US" w:eastAsia="zh-CN"/>
        </w:rPr>
        <w:t>大豆根腐病</w:t>
      </w:r>
      <w:r>
        <w:rPr>
          <w:rFonts w:hint="default" w:ascii="Times New Roman" w:hAnsi="Times New Roman" w:eastAsia="仿宋_GB2312" w:cs="Times New Roman"/>
          <w:b w:val="0"/>
          <w:bCs w:val="0"/>
          <w:color w:val="auto"/>
          <w:sz w:val="32"/>
          <w:szCs w:val="32"/>
          <w:highlight w:val="none"/>
          <w:lang w:val="en-US" w:eastAsia="zh-CN"/>
        </w:rPr>
        <w:t>根据病原情况，</w:t>
      </w:r>
      <w:r>
        <w:rPr>
          <w:rFonts w:hint="default" w:ascii="Times New Roman" w:hAnsi="Times New Roman" w:eastAsia="仿宋_GB2312" w:cs="Times New Roman"/>
          <w:color w:val="auto"/>
          <w:sz w:val="32"/>
          <w:szCs w:val="32"/>
          <w:highlight w:val="none"/>
          <w:lang w:val="en-US" w:eastAsia="zh-CN"/>
        </w:rPr>
        <w:t>可选用含咯菌腈、精甲霜灵、苯醚甲环唑、吡唑醚菌酯、多菌灵及福美双等成分的种子处理剂，每100千克种子推荐用药量（制剂量）为400—800毫升，具体用药量以农药标签为准。</w:t>
      </w:r>
      <w:r>
        <w:rPr>
          <w:rFonts w:hint="default" w:ascii="Times New Roman" w:hAnsi="Times New Roman" w:eastAsia="仿宋_GB2312" w:cs="Times New Roman"/>
          <w:b/>
          <w:bCs/>
          <w:color w:val="auto"/>
          <w:sz w:val="32"/>
          <w:szCs w:val="32"/>
          <w:highlight w:val="none"/>
          <w:lang w:val="en-US" w:eastAsia="zh-CN"/>
        </w:rPr>
        <w:t>蚜虫和地下害虫</w:t>
      </w:r>
      <w:r>
        <w:rPr>
          <w:rFonts w:hint="default" w:ascii="Times New Roman" w:hAnsi="Times New Roman" w:eastAsia="仿宋_GB2312" w:cs="Times New Roman"/>
          <w:color w:val="auto"/>
          <w:sz w:val="32"/>
          <w:szCs w:val="32"/>
          <w:highlight w:val="none"/>
          <w:lang w:val="en-US" w:eastAsia="zh-CN"/>
        </w:rPr>
        <w:t>等害虫发生严重的地区，可同时添加含噻虫嗪等成分的种子处理剂进行包衣。</w:t>
      </w:r>
      <w:r>
        <w:rPr>
          <w:rFonts w:hint="default" w:ascii="Times New Roman" w:hAnsi="Times New Roman" w:eastAsia="仿宋_GB2312" w:cs="Times New Roman"/>
          <w:b/>
          <w:bCs/>
          <w:color w:val="auto"/>
          <w:sz w:val="32"/>
          <w:szCs w:val="32"/>
          <w:highlight w:val="none"/>
          <w:lang w:val="en-US" w:eastAsia="zh-CN"/>
        </w:rPr>
        <w:t>孢囊线虫</w:t>
      </w:r>
      <w:r>
        <w:rPr>
          <w:rFonts w:hint="default" w:ascii="Times New Roman" w:hAnsi="Times New Roman" w:eastAsia="仿宋_GB2312" w:cs="Times New Roman"/>
          <w:color w:val="auto"/>
          <w:sz w:val="32"/>
          <w:szCs w:val="32"/>
          <w:highlight w:val="none"/>
          <w:lang w:val="en-US" w:eastAsia="zh-CN"/>
        </w:rPr>
        <w:t>较重地区可添加含苏云金杆菌、甲维盐等成分的种子处理剂进行包衣。选用的种子处理剂的登记使用作物应为大豆，具体用药量和比例应严格按产品说明书使用，以确保包衣效果。在科学选用大豆种子包衣药剂同时，</w:t>
      </w:r>
      <w:r>
        <w:rPr>
          <w:rFonts w:hint="default" w:ascii="Times New Roman" w:hAnsi="Times New Roman" w:eastAsia="仿宋_GB2312" w:cs="Times New Roman"/>
          <w:color w:val="auto"/>
          <w:sz w:val="32"/>
          <w:szCs w:val="32"/>
          <w:lang w:val="en-US" w:eastAsia="zh-CN"/>
        </w:rPr>
        <w:t>可加入钼酸铵等营养剂，促进根系发育，增加抗逆性，</w:t>
      </w:r>
      <w:r>
        <w:rPr>
          <w:rFonts w:hint="default" w:ascii="Times New Roman" w:hAnsi="Times New Roman" w:eastAsia="FangSong_GB2312" w:cs="Times New Roman"/>
          <w:color w:val="auto"/>
          <w:sz w:val="32"/>
          <w:szCs w:val="24"/>
          <w:lang w:val="en-US" w:eastAsia="zh-CN"/>
        </w:rPr>
        <w:t>助力</w:t>
      </w:r>
      <w:r>
        <w:rPr>
          <w:rFonts w:hint="default" w:ascii="Times New Roman" w:hAnsi="Times New Roman" w:eastAsia="FangSong_GB2312" w:cs="Times New Roman"/>
          <w:color w:val="auto"/>
          <w:sz w:val="32"/>
          <w:szCs w:val="24"/>
        </w:rPr>
        <w:t>单产提升。</w:t>
      </w:r>
    </w:p>
    <w:p w14:paraId="39F3357B">
      <w:pPr>
        <w:spacing w:beforeLines="0" w:afterLines="0"/>
        <w:ind w:firstLine="640" w:firstLineChars="200"/>
        <w:jc w:val="both"/>
        <w:rPr>
          <w:rFonts w:hint="default" w:ascii="Times New Roman" w:hAnsi="Times New Roman" w:eastAsia="FangSong_GB2312" w:cs="Times New Roman"/>
          <w:color w:val="auto"/>
          <w:sz w:val="32"/>
          <w:szCs w:val="24"/>
        </w:rPr>
      </w:pPr>
      <w:r>
        <w:rPr>
          <w:rFonts w:hint="default" w:ascii="Times New Roman" w:hAnsi="Times New Roman" w:eastAsia="楷体_GB2312" w:cs="Times New Roman"/>
          <w:color w:val="auto"/>
          <w:sz w:val="32"/>
          <w:szCs w:val="32"/>
          <w:lang w:eastAsia="zh-CN"/>
        </w:rPr>
        <w:t>（</w:t>
      </w:r>
      <w:r>
        <w:rPr>
          <w:rFonts w:hint="default" w:ascii="Times New Roman" w:hAnsi="Times New Roman" w:eastAsia="楷体_GB2312" w:cs="Times New Roman"/>
          <w:color w:val="auto"/>
          <w:sz w:val="32"/>
          <w:szCs w:val="32"/>
          <w:lang w:val="en-US" w:eastAsia="zh-CN"/>
        </w:rPr>
        <w:t>二</w:t>
      </w:r>
      <w:r>
        <w:rPr>
          <w:rFonts w:hint="default" w:ascii="Times New Roman" w:hAnsi="Times New Roman" w:eastAsia="楷体_GB2312" w:cs="Times New Roman"/>
          <w:color w:val="auto"/>
          <w:sz w:val="32"/>
          <w:szCs w:val="32"/>
          <w:lang w:eastAsia="zh-CN"/>
        </w:rPr>
        <w:t>）</w:t>
      </w:r>
      <w:r>
        <w:rPr>
          <w:rFonts w:hint="default" w:ascii="Times New Roman" w:hAnsi="Times New Roman" w:eastAsia="楷体_GB2312" w:cs="Times New Roman"/>
          <w:color w:val="auto"/>
          <w:sz w:val="32"/>
          <w:szCs w:val="32"/>
          <w:lang w:val="en-US" w:eastAsia="zh-CN"/>
        </w:rPr>
        <w:t>注意事项。</w:t>
      </w:r>
      <w:r>
        <w:rPr>
          <w:rFonts w:hint="default" w:ascii="Times New Roman" w:hAnsi="Times New Roman" w:eastAsia="FangSong_GB2312" w:cs="Times New Roman"/>
          <w:color w:val="auto"/>
          <w:sz w:val="32"/>
          <w:szCs w:val="24"/>
        </w:rPr>
        <w:t>在使用</w:t>
      </w:r>
      <w:r>
        <w:rPr>
          <w:rFonts w:hint="default" w:ascii="Times New Roman" w:hAnsi="Times New Roman" w:eastAsia="FangSong_GB2312" w:cs="Times New Roman"/>
          <w:color w:val="auto"/>
          <w:sz w:val="32"/>
          <w:szCs w:val="24"/>
          <w:lang w:val="en-US" w:eastAsia="zh-CN"/>
        </w:rPr>
        <w:t>种子处理剂</w:t>
      </w:r>
      <w:r>
        <w:rPr>
          <w:rFonts w:hint="default" w:ascii="Times New Roman" w:hAnsi="Times New Roman" w:eastAsia="FangSong_GB2312" w:cs="Times New Roman"/>
          <w:color w:val="auto"/>
          <w:sz w:val="32"/>
          <w:szCs w:val="24"/>
        </w:rPr>
        <w:t>等拌种药剂时，应注意安全操作规程，避免药物直接接触皮肤和吸入口鼻腔，操作时应佩戴安全防护装备。此外药物应储存在干燥、阴凉处，远离儿童及食品，确保用药安全。</w:t>
      </w:r>
    </w:p>
    <w:p w14:paraId="3F8B9FA1">
      <w:pPr>
        <w:adjustRightInd w:val="0"/>
        <w:snapToGrid w:val="0"/>
        <w:spacing w:beforeLines="-2147483648" w:afterLines="-2147483648" w:line="600" w:lineRule="exact"/>
        <w:ind w:firstLine="640" w:firstLineChars="200"/>
        <w:jc w:val="left"/>
        <w:rPr>
          <w:rFonts w:hint="default" w:ascii="Times New Roman" w:hAnsi="Times New Roman" w:eastAsia="黑体" w:cs="Times New Roman"/>
          <w:color w:val="auto"/>
          <w:sz w:val="32"/>
          <w:szCs w:val="32"/>
          <w:lang w:val="en-US"/>
        </w:rPr>
      </w:pPr>
      <w:r>
        <w:rPr>
          <w:rFonts w:hint="default" w:ascii="Times New Roman" w:hAnsi="Times New Roman" w:eastAsia="黑体" w:cs="Times New Roman"/>
          <w:color w:val="auto"/>
          <w:sz w:val="32"/>
          <w:szCs w:val="32"/>
          <w:lang w:val="en-US" w:eastAsia="zh-CN"/>
        </w:rPr>
        <w:t>三、精细整地，抢抓适期精播</w:t>
      </w:r>
    </w:p>
    <w:p w14:paraId="3400FABE">
      <w:pPr>
        <w:spacing w:beforeLines="0" w:afterLines="0"/>
        <w:ind w:firstLine="640" w:firstLineChars="200"/>
        <w:jc w:val="both"/>
        <w:rPr>
          <w:rFonts w:hint="default" w:ascii="Times New Roman" w:hAnsi="Times New Roman" w:eastAsia="FangSong_GB2312" w:cs="Times New Roman"/>
          <w:color w:val="auto"/>
          <w:sz w:val="32"/>
          <w:szCs w:val="24"/>
        </w:rPr>
      </w:pPr>
      <w:r>
        <w:rPr>
          <w:rFonts w:hint="default" w:ascii="Times New Roman" w:hAnsi="Times New Roman" w:eastAsia="楷体_GB2312" w:cs="Times New Roman"/>
          <w:color w:val="auto"/>
          <w:sz w:val="32"/>
          <w:szCs w:val="32"/>
          <w:lang w:val="en-US" w:eastAsia="zh-CN"/>
        </w:rPr>
        <w:t>（一）整地环节。</w:t>
      </w:r>
      <w:r>
        <w:rPr>
          <w:rFonts w:hint="default" w:ascii="Times New Roman" w:hAnsi="Times New Roman" w:eastAsia="FangSong_GB2312" w:cs="Times New Roman"/>
          <w:color w:val="auto"/>
          <w:sz w:val="32"/>
        </w:rPr>
        <w:t>秋整地起垄地块，在第二年春季土壤化冻3~5cm时进行顶凌镇压，防止跑墒；秋整地未起垄（秸秆翻埋或深松）以及未进行秋整地的地块，可在土壤化冻12~18cm时进行旋耕或耙、耢、起垄、镇压连续作业，避免跑墒。干旱地块要少动土，采取少耕或免耕方式灭茬播种或原垄种，以保住土壤墒情；涝洼地块，要及早耢地化冻、排水降渍，确保在土壤宜耕期内完成整地。</w:t>
      </w:r>
      <w:r>
        <w:rPr>
          <w:rFonts w:hint="default" w:ascii="Times New Roman" w:hAnsi="Times New Roman" w:eastAsia="FangSong_GB2312" w:cs="Times New Roman"/>
          <w:color w:val="auto"/>
          <w:sz w:val="32"/>
          <w:szCs w:val="24"/>
        </w:rPr>
        <w:t>有条件地区可增施有机肥、生物菌肥。降低苗期病虫害发生风险，为包衣种子出苗和健壮生长营造优质土壤环境。</w:t>
      </w:r>
    </w:p>
    <w:p w14:paraId="01345672">
      <w:pPr>
        <w:spacing w:beforeLines="0" w:afterLines="0"/>
        <w:ind w:firstLine="640" w:firstLineChars="200"/>
        <w:jc w:val="both"/>
        <w:rPr>
          <w:rFonts w:hint="default" w:ascii="Times New Roman" w:hAnsi="Times New Roman" w:eastAsia="FangSong_GB2312" w:cs="Times New Roman"/>
          <w:color w:val="auto"/>
          <w:sz w:val="32"/>
          <w:szCs w:val="24"/>
          <w:lang w:val="en-US" w:eastAsia="zh-CN"/>
        </w:rPr>
      </w:pPr>
      <w:r>
        <w:rPr>
          <w:rFonts w:hint="default" w:ascii="Times New Roman" w:hAnsi="Times New Roman" w:eastAsia="楷体_GB2312" w:cs="Times New Roman"/>
          <w:color w:val="auto"/>
          <w:sz w:val="32"/>
          <w:szCs w:val="32"/>
          <w:lang w:val="en-US" w:eastAsia="zh-CN"/>
        </w:rPr>
        <w:t>（二）播种环节。</w:t>
      </w:r>
      <w:r>
        <w:rPr>
          <w:rFonts w:hint="default" w:ascii="Times New Roman" w:hAnsi="Times New Roman" w:eastAsia="FangSong_GB2312" w:cs="Times New Roman"/>
          <w:color w:val="auto"/>
          <w:sz w:val="32"/>
        </w:rPr>
        <w:t>我省一般在土壤8cm地温稳定通过10℃的前提下，结合土壤墒情灵活掌握播种时间，墒情适宜要适时早播、抢播，确保在适播期内完成播种。严把播种质量关，提倡</w:t>
      </w:r>
      <w:r>
        <w:rPr>
          <w:rFonts w:hint="default" w:ascii="Times New Roman" w:hAnsi="Times New Roman" w:eastAsia="FangSong_GB2312" w:cs="Times New Roman"/>
          <w:color w:val="auto"/>
          <w:sz w:val="32"/>
          <w:lang w:val="en-US" w:eastAsia="zh-CN"/>
        </w:rPr>
        <w:t>使用精量播种机配合</w:t>
      </w:r>
      <w:r>
        <w:rPr>
          <w:rFonts w:hint="default" w:ascii="Times New Roman" w:hAnsi="Times New Roman" w:eastAsia="FangSong_GB2312" w:cs="Times New Roman"/>
          <w:color w:val="auto"/>
          <w:sz w:val="32"/>
        </w:rPr>
        <w:t>北斗导航</w:t>
      </w:r>
      <w:r>
        <w:rPr>
          <w:rFonts w:hint="default" w:ascii="Times New Roman" w:hAnsi="Times New Roman" w:eastAsia="FangSong_GB2312" w:cs="Times New Roman"/>
          <w:color w:val="auto"/>
          <w:sz w:val="32"/>
          <w:lang w:val="en-US" w:eastAsia="zh-CN"/>
        </w:rPr>
        <w:t>系统播种</w:t>
      </w:r>
      <w:r>
        <w:rPr>
          <w:rFonts w:hint="default" w:ascii="Times New Roman" w:hAnsi="Times New Roman" w:eastAsia="FangSong_GB2312" w:cs="Times New Roman"/>
          <w:color w:val="auto"/>
          <w:sz w:val="32"/>
        </w:rPr>
        <w:t>，</w:t>
      </w:r>
      <w:r>
        <w:rPr>
          <w:rFonts w:hint="default" w:ascii="Times New Roman" w:hAnsi="Times New Roman" w:eastAsia="FangSong_GB2312" w:cs="Times New Roman"/>
          <w:color w:val="auto"/>
          <w:sz w:val="32"/>
          <w:szCs w:val="24"/>
        </w:rPr>
        <w:t>做到精量用种、精细播种、深浅一致、播量均匀、覆土严密</w:t>
      </w:r>
      <w:r>
        <w:rPr>
          <w:rFonts w:hint="default" w:ascii="Times New Roman" w:hAnsi="Times New Roman" w:eastAsia="FangSong_GB2312" w:cs="Times New Roman"/>
          <w:color w:val="auto"/>
          <w:sz w:val="32"/>
          <w:szCs w:val="24"/>
          <w:lang w:eastAsia="zh-CN"/>
        </w:rPr>
        <w:t>。</w:t>
      </w:r>
      <w:r>
        <w:rPr>
          <w:rFonts w:hint="default" w:ascii="Times New Roman" w:hAnsi="Times New Roman" w:eastAsia="FangSong_GB2312" w:cs="Times New Roman"/>
          <w:color w:val="auto"/>
          <w:sz w:val="32"/>
          <w:szCs w:val="24"/>
        </w:rPr>
        <w:t>机播前测试下籽顺畅度，可酌情用滑石粉等润滑材料促进排种，原则上包衣时不添加润滑材料，谨慎进行二次拌种。</w:t>
      </w:r>
      <w:r>
        <w:rPr>
          <w:rFonts w:hint="default" w:ascii="Times New Roman" w:hAnsi="Times New Roman" w:eastAsia="FangSong_GB2312" w:cs="Times New Roman"/>
          <w:color w:val="auto"/>
          <w:sz w:val="32"/>
        </w:rPr>
        <w:t>根据积温条件、土壤肥力、降雨量、施肥量和品种特性，合理确定播种密度。常规栽培的，</w:t>
      </w:r>
      <w:r>
        <w:rPr>
          <w:rFonts w:hint="default" w:ascii="Times New Roman" w:hAnsi="Times New Roman" w:eastAsia="FangSong_GB2312" w:cs="Times New Roman"/>
          <w:color w:val="auto"/>
          <w:sz w:val="32"/>
          <w:lang w:val="en-US" w:eastAsia="zh-CN"/>
        </w:rPr>
        <w:t>我</w:t>
      </w:r>
      <w:r>
        <w:rPr>
          <w:rFonts w:hint="default" w:ascii="Times New Roman" w:hAnsi="Times New Roman" w:eastAsia="FangSong_GB2312" w:cs="Times New Roman"/>
          <w:color w:val="auto"/>
          <w:sz w:val="32"/>
        </w:rPr>
        <w:t>省东部地区</w:t>
      </w:r>
      <w:r>
        <w:rPr>
          <w:rFonts w:hint="default" w:ascii="Times New Roman" w:hAnsi="Times New Roman" w:eastAsia="FangSong_GB2312" w:cs="Times New Roman"/>
          <w:color w:val="auto"/>
          <w:sz w:val="32"/>
          <w:lang w:val="en-US" w:eastAsia="zh-CN"/>
        </w:rPr>
        <w:t>公顷</w:t>
      </w:r>
      <w:r>
        <w:rPr>
          <w:rFonts w:hint="default" w:ascii="Times New Roman" w:hAnsi="Times New Roman" w:eastAsia="FangSong_GB2312" w:cs="Times New Roman"/>
          <w:color w:val="auto"/>
          <w:sz w:val="32"/>
        </w:rPr>
        <w:t>保苗</w:t>
      </w:r>
      <w:r>
        <w:rPr>
          <w:rFonts w:hint="default" w:ascii="Times New Roman" w:hAnsi="Times New Roman" w:eastAsia="FangSong_GB2312" w:cs="Times New Roman"/>
          <w:color w:val="auto"/>
          <w:sz w:val="32"/>
          <w:lang w:val="en-US" w:eastAsia="zh-CN"/>
        </w:rPr>
        <w:t>24</w:t>
      </w:r>
      <w:r>
        <w:rPr>
          <w:rFonts w:hint="default" w:ascii="Times New Roman" w:hAnsi="Times New Roman" w:eastAsia="FangSong_GB2312" w:cs="Times New Roman"/>
          <w:color w:val="auto"/>
          <w:sz w:val="32"/>
        </w:rPr>
        <w:t>万株</w:t>
      </w:r>
      <w:r>
        <w:rPr>
          <w:rFonts w:hint="default" w:ascii="Times New Roman" w:hAnsi="Times New Roman" w:eastAsia="FangSong_GB2312" w:cs="Times New Roman"/>
          <w:color w:val="auto"/>
          <w:sz w:val="32"/>
          <w:lang w:val="en-US" w:eastAsia="zh-CN"/>
        </w:rPr>
        <w:t>~26</w:t>
      </w:r>
      <w:r>
        <w:rPr>
          <w:rFonts w:hint="default" w:ascii="Times New Roman" w:hAnsi="Times New Roman" w:eastAsia="FangSong_GB2312" w:cs="Times New Roman"/>
          <w:color w:val="auto"/>
          <w:sz w:val="32"/>
        </w:rPr>
        <w:t>万株，中部地区</w:t>
      </w:r>
      <w:r>
        <w:rPr>
          <w:rFonts w:hint="default" w:ascii="Times New Roman" w:hAnsi="Times New Roman" w:eastAsia="FangSong_GB2312" w:cs="Times New Roman"/>
          <w:color w:val="auto"/>
          <w:sz w:val="32"/>
          <w:lang w:val="en-US" w:eastAsia="zh-CN"/>
        </w:rPr>
        <w:t>公顷</w:t>
      </w:r>
      <w:r>
        <w:rPr>
          <w:rFonts w:hint="default" w:ascii="Times New Roman" w:hAnsi="Times New Roman" w:eastAsia="FangSong_GB2312" w:cs="Times New Roman"/>
          <w:color w:val="auto"/>
          <w:sz w:val="32"/>
        </w:rPr>
        <w:t>保苗</w:t>
      </w:r>
      <w:r>
        <w:rPr>
          <w:rFonts w:hint="default" w:ascii="Times New Roman" w:hAnsi="Times New Roman" w:eastAsia="FangSong_GB2312" w:cs="Times New Roman"/>
          <w:color w:val="auto"/>
          <w:sz w:val="32"/>
          <w:lang w:val="en-US" w:eastAsia="zh-CN"/>
        </w:rPr>
        <w:t>18</w:t>
      </w:r>
      <w:r>
        <w:rPr>
          <w:rFonts w:hint="default" w:ascii="Times New Roman" w:hAnsi="Times New Roman" w:eastAsia="FangSong_GB2312" w:cs="Times New Roman"/>
          <w:color w:val="auto"/>
          <w:sz w:val="32"/>
        </w:rPr>
        <w:t>万株</w:t>
      </w:r>
      <w:r>
        <w:rPr>
          <w:rFonts w:hint="default" w:ascii="Times New Roman" w:hAnsi="Times New Roman" w:eastAsia="FangSong_GB2312" w:cs="Times New Roman"/>
          <w:color w:val="auto"/>
          <w:sz w:val="32"/>
          <w:lang w:val="en-US" w:eastAsia="zh-CN"/>
        </w:rPr>
        <w:t>~23</w:t>
      </w:r>
      <w:r>
        <w:rPr>
          <w:rFonts w:hint="default" w:ascii="Times New Roman" w:hAnsi="Times New Roman" w:eastAsia="FangSong_GB2312" w:cs="Times New Roman"/>
          <w:color w:val="auto"/>
          <w:sz w:val="32"/>
        </w:rPr>
        <w:t>万株，西部地区</w:t>
      </w:r>
      <w:r>
        <w:rPr>
          <w:rFonts w:hint="default" w:ascii="Times New Roman" w:hAnsi="Times New Roman" w:eastAsia="FangSong_GB2312" w:cs="Times New Roman"/>
          <w:color w:val="auto"/>
          <w:sz w:val="32"/>
          <w:lang w:val="en-US" w:eastAsia="zh-CN"/>
        </w:rPr>
        <w:t>公顷</w:t>
      </w:r>
      <w:r>
        <w:rPr>
          <w:rFonts w:hint="default" w:ascii="Times New Roman" w:hAnsi="Times New Roman" w:eastAsia="FangSong_GB2312" w:cs="Times New Roman"/>
          <w:color w:val="auto"/>
          <w:sz w:val="32"/>
        </w:rPr>
        <w:t>保苗</w:t>
      </w:r>
      <w:r>
        <w:rPr>
          <w:rFonts w:hint="default" w:ascii="Times New Roman" w:hAnsi="Times New Roman" w:eastAsia="FangSong_GB2312" w:cs="Times New Roman"/>
          <w:color w:val="auto"/>
          <w:sz w:val="32"/>
          <w:lang w:val="en-US" w:eastAsia="zh-CN"/>
        </w:rPr>
        <w:t>20</w:t>
      </w:r>
      <w:r>
        <w:rPr>
          <w:rFonts w:hint="default" w:ascii="Times New Roman" w:hAnsi="Times New Roman" w:eastAsia="FangSong_GB2312" w:cs="Times New Roman"/>
          <w:color w:val="auto"/>
          <w:sz w:val="32"/>
        </w:rPr>
        <w:t>万株</w:t>
      </w:r>
      <w:r>
        <w:rPr>
          <w:rFonts w:hint="default" w:ascii="Times New Roman" w:hAnsi="Times New Roman" w:eastAsia="FangSong_GB2312" w:cs="Times New Roman"/>
          <w:color w:val="auto"/>
          <w:sz w:val="32"/>
          <w:lang w:val="en-US" w:eastAsia="zh-CN"/>
        </w:rPr>
        <w:t>~24</w:t>
      </w:r>
      <w:r>
        <w:rPr>
          <w:rFonts w:hint="default" w:ascii="Times New Roman" w:hAnsi="Times New Roman" w:eastAsia="FangSong_GB2312" w:cs="Times New Roman"/>
          <w:color w:val="auto"/>
          <w:sz w:val="32"/>
        </w:rPr>
        <w:t>万株。密植栽培的，平均密度增加15%。</w:t>
      </w:r>
    </w:p>
    <w:p w14:paraId="393B3282">
      <w:pPr>
        <w:pStyle w:val="16"/>
        <w:pBdr>
          <w:top w:val="none" w:color="000000" w:sz="0" w:space="0"/>
          <w:left w:val="none" w:color="000000" w:sz="0" w:space="0"/>
          <w:bottom w:val="none" w:color="000000" w:sz="0" w:space="29"/>
          <w:right w:val="none" w:color="000000" w:sz="0" w:space="10"/>
        </w:pBdr>
        <w:autoSpaceDN w:val="0"/>
        <w:spacing w:line="600" w:lineRule="exact"/>
        <w:jc w:val="both"/>
        <w:rPr>
          <w:rFonts w:hint="default" w:ascii="Times New Roman" w:hAnsi="Times New Roman" w:eastAsia="方正小标宋简体" w:cs="Times New Roman"/>
          <w:sz w:val="44"/>
          <w:szCs w:val="44"/>
        </w:rPr>
      </w:pPr>
    </w:p>
    <w:sectPr>
      <w:pgSz w:w="11906" w:h="16838"/>
      <w:pgMar w:top="1701" w:right="1417" w:bottom="1701" w:left="141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E13C17D-A395-42D2-92D8-2A19F32F52C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embedRegular r:id="rId2" w:fontKey="{D6CB3717-BC7A-4660-81FB-1C732470F241}"/>
  </w:font>
  <w:font w:name="仿宋_GB2312">
    <w:panose1 w:val="02010609030101010101"/>
    <w:charset w:val="86"/>
    <w:family w:val="modern"/>
    <w:pitch w:val="default"/>
    <w:sig w:usb0="00000001" w:usb1="080E0000" w:usb2="00000000" w:usb3="00000000" w:csb0="00040000" w:csb1="00000000"/>
    <w:embedRegular r:id="rId3" w:fontKey="{E3A30F53-3863-4490-9AF4-1AC96ACB7D09}"/>
  </w:font>
  <w:font w:name="楷体_GB2312">
    <w:panose1 w:val="02010609030101010101"/>
    <w:charset w:val="86"/>
    <w:family w:val="modern"/>
    <w:pitch w:val="default"/>
    <w:sig w:usb0="00000001" w:usb1="080E0000" w:usb2="00000000" w:usb3="00000000" w:csb0="00040000" w:csb1="00000000"/>
    <w:embedRegular r:id="rId4" w:fontKey="{607CDAAC-9CB1-45E3-9FD7-DDF6A309CCAE}"/>
  </w:font>
  <w:font w:name="方正小标宋_GBK">
    <w:altName w:val="微软雅黑"/>
    <w:panose1 w:val="02000000000000000000"/>
    <w:charset w:val="86"/>
    <w:family w:val="auto"/>
    <w:pitch w:val="default"/>
    <w:sig w:usb0="00000000" w:usb1="00000000" w:usb2="00000000" w:usb3="00000000" w:csb0="00040000" w:csb1="00000000"/>
    <w:embedRegular r:id="rId5" w:fontKey="{C4AE9ADC-38A6-4EEF-91BB-A6F1D1798305}"/>
  </w:font>
  <w:font w:name="微软雅黑">
    <w:panose1 w:val="020B0503020204020204"/>
    <w:charset w:val="86"/>
    <w:family w:val="auto"/>
    <w:pitch w:val="default"/>
    <w:sig w:usb0="80000287" w:usb1="2ACF3C50" w:usb2="00000016" w:usb3="00000000" w:csb0="0004001F" w:csb1="00000000"/>
  </w:font>
  <w:font w:name="FangSong_GB2312">
    <w:altName w:val="仿宋_GB2312"/>
    <w:panose1 w:val="02010609030101010101"/>
    <w:charset w:val="86"/>
    <w:family w:val="auto"/>
    <w:pitch w:val="default"/>
    <w:sig w:usb0="00000000" w:usb1="00000000" w:usb2="00000000" w:usb3="00000000" w:csb0="00040000" w:csb1="00000000"/>
    <w:embedRegular r:id="rId6" w:fontKey="{7CB673E9-7F76-4815-B14F-21157EE8DFF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180DB4">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ACC4E9">
                          <w:pPr>
                            <w:pStyle w:val="5"/>
                            <w:rPr>
                              <w:rFonts w:ascii="仿宋_GB2312" w:hAnsi="仿宋_GB2312" w:eastAsia="仿宋_GB2312" w:cs="仿宋_GB2312"/>
                            </w:rPr>
                          </w:pPr>
                          <w:r>
                            <w:rPr>
                              <w:rFonts w:hint="eastAsia" w:ascii="仿宋_GB2312" w:hAnsi="仿宋_GB2312" w:eastAsia="仿宋_GB2312" w:cs="仿宋_GB2312"/>
                            </w:rPr>
                            <w:t xml:space="preserve">— </w:t>
                          </w:r>
                          <w:r>
                            <w:rPr>
                              <w:rFonts w:hint="eastAsia" w:ascii="仿宋_GB2312" w:hAnsi="仿宋_GB2312" w:eastAsia="仿宋_GB2312" w:cs="仿宋_GB2312"/>
                            </w:rPr>
                            <w:fldChar w:fldCharType="begin"/>
                          </w:r>
                          <w:r>
                            <w:rPr>
                              <w:rFonts w:hint="eastAsia" w:ascii="仿宋_GB2312" w:hAnsi="仿宋_GB2312" w:eastAsia="仿宋_GB2312" w:cs="仿宋_GB2312"/>
                            </w:rPr>
                            <w:instrText xml:space="preserve"> PAGE  \* MERGEFORMAT </w:instrText>
                          </w:r>
                          <w:r>
                            <w:rPr>
                              <w:rFonts w:hint="eastAsia" w:ascii="仿宋_GB2312" w:hAnsi="仿宋_GB2312" w:eastAsia="仿宋_GB2312" w:cs="仿宋_GB2312"/>
                            </w:rPr>
                            <w:fldChar w:fldCharType="separate"/>
                          </w:r>
                          <w:r>
                            <w:rPr>
                              <w:rFonts w:ascii="仿宋_GB2312" w:hAnsi="仿宋_GB2312" w:eastAsia="仿宋_GB2312" w:cs="仿宋_GB2312"/>
                            </w:rPr>
                            <w:t>6</w:t>
                          </w:r>
                          <w:r>
                            <w:rPr>
                              <w:rFonts w:hint="eastAsia" w:ascii="仿宋_GB2312" w:hAnsi="仿宋_GB2312" w:eastAsia="仿宋_GB2312" w:cs="仿宋_GB2312"/>
                            </w:rPr>
                            <w:fldChar w:fldCharType="end"/>
                          </w:r>
                          <w:r>
                            <w:rPr>
                              <w:rFonts w:hint="eastAsia" w:ascii="仿宋_GB2312" w:hAnsi="仿宋_GB2312" w:eastAsia="仿宋_GB2312" w:cs="仿宋_GB2312"/>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18ACC4E9">
                    <w:pPr>
                      <w:pStyle w:val="5"/>
                      <w:rPr>
                        <w:rFonts w:ascii="仿宋_GB2312" w:hAnsi="仿宋_GB2312" w:eastAsia="仿宋_GB2312" w:cs="仿宋_GB2312"/>
                      </w:rPr>
                    </w:pPr>
                    <w:r>
                      <w:rPr>
                        <w:rFonts w:hint="eastAsia" w:ascii="仿宋_GB2312" w:hAnsi="仿宋_GB2312" w:eastAsia="仿宋_GB2312" w:cs="仿宋_GB2312"/>
                      </w:rPr>
                      <w:t xml:space="preserve">— </w:t>
                    </w:r>
                    <w:r>
                      <w:rPr>
                        <w:rFonts w:hint="eastAsia" w:ascii="仿宋_GB2312" w:hAnsi="仿宋_GB2312" w:eastAsia="仿宋_GB2312" w:cs="仿宋_GB2312"/>
                      </w:rPr>
                      <w:fldChar w:fldCharType="begin"/>
                    </w:r>
                    <w:r>
                      <w:rPr>
                        <w:rFonts w:hint="eastAsia" w:ascii="仿宋_GB2312" w:hAnsi="仿宋_GB2312" w:eastAsia="仿宋_GB2312" w:cs="仿宋_GB2312"/>
                      </w:rPr>
                      <w:instrText xml:space="preserve"> PAGE  \* MERGEFORMAT </w:instrText>
                    </w:r>
                    <w:r>
                      <w:rPr>
                        <w:rFonts w:hint="eastAsia" w:ascii="仿宋_GB2312" w:hAnsi="仿宋_GB2312" w:eastAsia="仿宋_GB2312" w:cs="仿宋_GB2312"/>
                      </w:rPr>
                      <w:fldChar w:fldCharType="separate"/>
                    </w:r>
                    <w:r>
                      <w:rPr>
                        <w:rFonts w:ascii="仿宋_GB2312" w:hAnsi="仿宋_GB2312" w:eastAsia="仿宋_GB2312" w:cs="仿宋_GB2312"/>
                      </w:rPr>
                      <w:t>6</w:t>
                    </w:r>
                    <w:r>
                      <w:rPr>
                        <w:rFonts w:hint="eastAsia" w:ascii="仿宋_GB2312" w:hAnsi="仿宋_GB2312" w:eastAsia="仿宋_GB2312" w:cs="仿宋_GB2312"/>
                      </w:rPr>
                      <w:fldChar w:fldCharType="end"/>
                    </w:r>
                    <w:r>
                      <w:rPr>
                        <w:rFonts w:hint="eastAsia" w:ascii="仿宋_GB2312" w:hAnsi="仿宋_GB2312" w:eastAsia="仿宋_GB2312" w:cs="仿宋_GB2312"/>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VjZWQxMWIzOTkyYmIzM2NkMGRhZGRlMjIxYjllZDMifQ=="/>
  </w:docVars>
  <w:rsids>
    <w:rsidRoot w:val="7D0A7666"/>
    <w:rsid w:val="00174EBC"/>
    <w:rsid w:val="004B0432"/>
    <w:rsid w:val="004F2796"/>
    <w:rsid w:val="005409C8"/>
    <w:rsid w:val="008E5849"/>
    <w:rsid w:val="009E3F04"/>
    <w:rsid w:val="00B852B2"/>
    <w:rsid w:val="023C288C"/>
    <w:rsid w:val="06D8E085"/>
    <w:rsid w:val="08081149"/>
    <w:rsid w:val="08E30270"/>
    <w:rsid w:val="09457A44"/>
    <w:rsid w:val="0B7567ED"/>
    <w:rsid w:val="0BA51605"/>
    <w:rsid w:val="0D672635"/>
    <w:rsid w:val="0D7A1B17"/>
    <w:rsid w:val="11FA65D4"/>
    <w:rsid w:val="136611CC"/>
    <w:rsid w:val="13D61A1C"/>
    <w:rsid w:val="15321D6D"/>
    <w:rsid w:val="16CA6E20"/>
    <w:rsid w:val="17237EFC"/>
    <w:rsid w:val="17493826"/>
    <w:rsid w:val="197949FD"/>
    <w:rsid w:val="1AC31AC4"/>
    <w:rsid w:val="1C1C7D6C"/>
    <w:rsid w:val="1E5A368F"/>
    <w:rsid w:val="206415BC"/>
    <w:rsid w:val="21163D9B"/>
    <w:rsid w:val="2311409C"/>
    <w:rsid w:val="23BC14BC"/>
    <w:rsid w:val="25B42F3B"/>
    <w:rsid w:val="2B01581B"/>
    <w:rsid w:val="2B127E42"/>
    <w:rsid w:val="2C66605B"/>
    <w:rsid w:val="2F355E75"/>
    <w:rsid w:val="2F907D35"/>
    <w:rsid w:val="326B7BC2"/>
    <w:rsid w:val="33617581"/>
    <w:rsid w:val="3418150B"/>
    <w:rsid w:val="398E1B16"/>
    <w:rsid w:val="3D6A62BF"/>
    <w:rsid w:val="408815B1"/>
    <w:rsid w:val="40B31B98"/>
    <w:rsid w:val="442E6D95"/>
    <w:rsid w:val="44373D12"/>
    <w:rsid w:val="45ED5F6B"/>
    <w:rsid w:val="49B93603"/>
    <w:rsid w:val="4C4C7766"/>
    <w:rsid w:val="4E591E2C"/>
    <w:rsid w:val="501006BD"/>
    <w:rsid w:val="50665117"/>
    <w:rsid w:val="5329006C"/>
    <w:rsid w:val="54500195"/>
    <w:rsid w:val="55DC21B2"/>
    <w:rsid w:val="56E56CA1"/>
    <w:rsid w:val="57811184"/>
    <w:rsid w:val="58931952"/>
    <w:rsid w:val="596F667C"/>
    <w:rsid w:val="5BEB1E5A"/>
    <w:rsid w:val="5F43214A"/>
    <w:rsid w:val="5F621703"/>
    <w:rsid w:val="605472D8"/>
    <w:rsid w:val="62FB4239"/>
    <w:rsid w:val="63A05EE8"/>
    <w:rsid w:val="65366619"/>
    <w:rsid w:val="653B42F3"/>
    <w:rsid w:val="67DE231F"/>
    <w:rsid w:val="6A042842"/>
    <w:rsid w:val="6BD24BEE"/>
    <w:rsid w:val="6C3426B0"/>
    <w:rsid w:val="6C410D71"/>
    <w:rsid w:val="6C9216C9"/>
    <w:rsid w:val="6FB23D41"/>
    <w:rsid w:val="6FFE0872"/>
    <w:rsid w:val="73C9280F"/>
    <w:rsid w:val="78BE03D5"/>
    <w:rsid w:val="7B4F7D50"/>
    <w:rsid w:val="7C764DC2"/>
    <w:rsid w:val="7D0860D8"/>
    <w:rsid w:val="7D0A7666"/>
    <w:rsid w:val="7E4310B5"/>
    <w:rsid w:val="7EDE4801"/>
    <w:rsid w:val="7FC85EB2"/>
    <w:rsid w:val="7FFF8F05"/>
    <w:rsid w:val="EDDF6C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name="Body Text First Indent"/>
    <w:lsdException w:unhideWhenUsed="0" w:uiPriority="0" w:semiHidden="0" w:name="Body Text First Indent 2"/>
    <w:lsdException w:unhideWhenUsed="0" w:uiPriority="0" w:semiHidden="0" w:name="Note Heading"/>
    <w:lsdException w:qFormat="1"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rPr>
      <w:sz w:val="36"/>
      <w:szCs w:val="36"/>
    </w:rPr>
  </w:style>
  <w:style w:type="paragraph" w:styleId="3">
    <w:name w:val="Body Text 2"/>
    <w:basedOn w:val="1"/>
    <w:unhideWhenUsed/>
    <w:qFormat/>
    <w:uiPriority w:val="0"/>
    <w:pPr>
      <w:spacing w:after="120" w:line="480" w:lineRule="auto"/>
    </w:pPr>
  </w:style>
  <w:style w:type="paragraph" w:styleId="4">
    <w:name w:val="Balloon Text"/>
    <w:basedOn w:val="1"/>
    <w:link w:val="17"/>
    <w:qFormat/>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7">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1">
    <w:name w:val="TableOfAuthoring"/>
    <w:basedOn w:val="1"/>
    <w:next w:val="1"/>
    <w:qFormat/>
    <w:uiPriority w:val="0"/>
    <w:pPr>
      <w:ind w:left="420" w:leftChars="200"/>
      <w:textAlignment w:val="baseline"/>
    </w:pPr>
    <w:rPr>
      <w:sz w:val="32"/>
    </w:rPr>
  </w:style>
  <w:style w:type="character" w:customStyle="1" w:styleId="12">
    <w:name w:val="font71"/>
    <w:basedOn w:val="10"/>
    <w:qFormat/>
    <w:uiPriority w:val="0"/>
    <w:rPr>
      <w:rFonts w:hint="eastAsia" w:ascii="宋体" w:hAnsi="宋体" w:eastAsia="宋体" w:cs="宋体"/>
      <w:b/>
      <w:bCs/>
      <w:color w:val="000000"/>
      <w:sz w:val="22"/>
      <w:szCs w:val="22"/>
      <w:u w:val="none"/>
    </w:rPr>
  </w:style>
  <w:style w:type="character" w:customStyle="1" w:styleId="13">
    <w:name w:val="font31"/>
    <w:basedOn w:val="10"/>
    <w:qFormat/>
    <w:uiPriority w:val="0"/>
    <w:rPr>
      <w:rFonts w:hint="eastAsia" w:ascii="宋体" w:hAnsi="宋体" w:eastAsia="宋体" w:cs="宋体"/>
      <w:color w:val="000000"/>
      <w:sz w:val="22"/>
      <w:szCs w:val="22"/>
      <w:u w:val="none"/>
    </w:rPr>
  </w:style>
  <w:style w:type="character" w:customStyle="1" w:styleId="14">
    <w:name w:val="font21"/>
    <w:basedOn w:val="10"/>
    <w:qFormat/>
    <w:uiPriority w:val="0"/>
    <w:rPr>
      <w:rFonts w:hint="eastAsia" w:ascii="宋体" w:hAnsi="宋体" w:eastAsia="宋体" w:cs="宋体"/>
      <w:b/>
      <w:bCs/>
      <w:color w:val="000000"/>
      <w:sz w:val="20"/>
      <w:szCs w:val="20"/>
      <w:u w:val="none"/>
    </w:rPr>
  </w:style>
  <w:style w:type="character" w:customStyle="1" w:styleId="15">
    <w:name w:val="font01"/>
    <w:basedOn w:val="10"/>
    <w:qFormat/>
    <w:uiPriority w:val="0"/>
    <w:rPr>
      <w:rFonts w:hint="eastAsia" w:ascii="宋体" w:hAnsi="宋体" w:eastAsia="宋体" w:cs="宋体"/>
      <w:b/>
      <w:bCs/>
      <w:color w:val="000000"/>
      <w:sz w:val="20"/>
      <w:szCs w:val="20"/>
      <w:u w:val="none"/>
    </w:rPr>
  </w:style>
  <w:style w:type="paragraph" w:customStyle="1" w:styleId="16">
    <w:name w:val="正文 New New New New New New New New New New New New New New New New New New New New New New New New New New New New New New New"/>
    <w:qFormat/>
    <w:uiPriority w:val="0"/>
    <w:pPr>
      <w:widowControl w:val="0"/>
      <w:jc w:val="both"/>
    </w:pPr>
    <w:rPr>
      <w:rFonts w:ascii="Calibri" w:hAnsi="Calibri" w:eastAsia="宋体" w:cs="Times New Roman"/>
      <w:kern w:val="2"/>
      <w:sz w:val="21"/>
      <w:szCs w:val="24"/>
      <w:lang w:val="en-US" w:eastAsia="zh-CN" w:bidi="ar-SA"/>
    </w:rPr>
  </w:style>
  <w:style w:type="character" w:customStyle="1" w:styleId="17">
    <w:name w:val="批注框文本 Char"/>
    <w:basedOn w:val="10"/>
    <w:link w:val="4"/>
    <w:qFormat/>
    <w:uiPriority w:val="0"/>
    <w:rPr>
      <w:rFonts w:ascii="Calibri" w:hAnsi="Calibri"/>
      <w:kern w:val="2"/>
      <w:sz w:val="18"/>
      <w:szCs w:val="18"/>
    </w:rPr>
  </w:style>
  <w:style w:type="paragraph" w:customStyle="1" w:styleId="18">
    <w:name w:val="Revision"/>
    <w:hidden/>
    <w:unhideWhenUsed/>
    <w:qFormat/>
    <w:uiPriority w:val="99"/>
    <w:rPr>
      <w:rFonts w:ascii="Calibri" w:hAnsi="Calibri" w:eastAsia="宋体" w:cs="Times New Roman"/>
      <w:kern w:val="2"/>
      <w:sz w:val="21"/>
      <w:szCs w:val="24"/>
      <w:lang w:val="en-US" w:eastAsia="zh-CN" w:bidi="ar-SA"/>
    </w:rPr>
  </w:style>
  <w:style w:type="character" w:customStyle="1" w:styleId="19">
    <w:name w:val="页眉 Char"/>
    <w:basedOn w:val="10"/>
    <w:link w:val="6"/>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3104</Words>
  <Characters>3248</Characters>
  <Lines>17</Lines>
  <Paragraphs>4</Paragraphs>
  <TotalTime>12</TotalTime>
  <ScaleCrop>false</ScaleCrop>
  <LinksUpToDate>false</LinksUpToDate>
  <CharactersWithSpaces>3282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2025-05-20T11:09:00Z</dcterms:created>
  <dc:creator>张楚尧</dc:creator>
  <cp:lastModifiedBy>yaya</cp:lastModifiedBy>
  <cp:lastPrinted>2025-06-18T09:15:00Z</cp:lastPrinted>
  <dcterms:modified xsi:type="dcterms:W3CDTF">2026-06-23T06:10:41Z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F9FB45F86244F87DFDB92B6A913F6267</vt:lpwstr>
  </property>
  <property fmtid="{D5CDD505-2E9C-101B-9397-08002B2CF9AE}" pid="4" name="KSOTemplateDocerSaveRecord">
    <vt:lpwstr>eyJoZGlkIjoiNzVkYTExOWEzNjQ0YTVkYjFmMTZlNzBlNzc3ZTM0NDEiLCJ1c2VySWQiOiIxMjExMzUyMjQ4In0=</vt:lpwstr>
  </property>
</Properties>
</file>