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57EB56">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附件20</w:t>
      </w:r>
      <w:bookmarkStart w:id="0" w:name="_GoBack"/>
      <w:bookmarkEnd w:id="0"/>
    </w:p>
    <w:p w14:paraId="52F3F8D8">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cs="Times New Roman"/>
          <w:highlight w:val="none"/>
        </w:rPr>
      </w:pPr>
    </w:p>
    <w:p w14:paraId="2697AFA2">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jc w:val="center"/>
        <w:textAlignment w:val="auto"/>
        <w:rPr>
          <w:rFonts w:hint="default" w:ascii="Times New Roman" w:hAnsi="Times New Roman" w:eastAsia="方正小标宋简体" w:cs="Times New Roman"/>
          <w:b w:val="0"/>
          <w:bCs w:val="0"/>
          <w:color w:val="000000"/>
          <w:spacing w:val="0"/>
          <w:kern w:val="0"/>
          <w:position w:val="0"/>
          <w:sz w:val="44"/>
          <w:szCs w:val="44"/>
          <w:highlight w:val="none"/>
        </w:rPr>
      </w:pPr>
      <w:r>
        <w:rPr>
          <w:rFonts w:hint="default" w:ascii="Times New Roman" w:hAnsi="Times New Roman" w:eastAsia="方正小标宋简体" w:cs="Times New Roman"/>
          <w:b w:val="0"/>
          <w:bCs w:val="0"/>
          <w:color w:val="000000"/>
          <w:spacing w:val="0"/>
          <w:kern w:val="0"/>
          <w:position w:val="0"/>
          <w:sz w:val="44"/>
          <w:szCs w:val="44"/>
          <w:highlight w:val="none"/>
        </w:rPr>
        <w:t>2026年中央农业生态资源保护资金</w:t>
      </w:r>
    </w:p>
    <w:p w14:paraId="6DE10FAC">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jc w:val="center"/>
        <w:textAlignment w:val="auto"/>
        <w:rPr>
          <w:rFonts w:hint="default" w:ascii="Times New Roman" w:hAnsi="Times New Roman" w:eastAsia="方正小标宋简体" w:cs="Times New Roman"/>
          <w:b w:val="0"/>
          <w:bCs w:val="0"/>
          <w:color w:val="000000"/>
          <w:spacing w:val="0"/>
          <w:kern w:val="0"/>
          <w:position w:val="0"/>
          <w:sz w:val="44"/>
          <w:szCs w:val="44"/>
          <w:highlight w:val="none"/>
        </w:rPr>
      </w:pPr>
      <w:r>
        <w:rPr>
          <w:rFonts w:hint="default" w:ascii="Times New Roman" w:hAnsi="Times New Roman" w:eastAsia="方正小标宋简体" w:cs="Times New Roman"/>
          <w:b w:val="0"/>
          <w:bCs w:val="0"/>
          <w:color w:val="000000"/>
          <w:spacing w:val="0"/>
          <w:kern w:val="0"/>
          <w:position w:val="0"/>
          <w:sz w:val="44"/>
          <w:szCs w:val="44"/>
          <w:highlight w:val="none"/>
        </w:rPr>
        <w:t>（农作物秸秆综合利用）项目实施方案（指南）</w:t>
      </w:r>
    </w:p>
    <w:p w14:paraId="6A6E8B63">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cs="Times New Roman"/>
          <w:spacing w:val="0"/>
          <w:kern w:val="0"/>
          <w:position w:val="0"/>
          <w:sz w:val="32"/>
          <w:szCs w:val="32"/>
          <w:highlight w:val="none"/>
        </w:rPr>
      </w:pPr>
    </w:p>
    <w:p w14:paraId="30DFB8DE">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default" w:ascii="Times New Roman" w:hAnsi="Times New Roman" w:eastAsia="仿宋_GB2312" w:cs="Times New Roman"/>
          <w:color w:val="000000"/>
          <w:spacing w:val="0"/>
          <w:kern w:val="0"/>
          <w:position w:val="0"/>
          <w:sz w:val="32"/>
          <w:szCs w:val="32"/>
          <w:highlight w:val="none"/>
        </w:rPr>
      </w:pPr>
      <w:r>
        <w:rPr>
          <w:rFonts w:hint="default" w:ascii="Times New Roman" w:hAnsi="Times New Roman" w:eastAsia="仿宋_GB2312" w:cs="Times New Roman"/>
          <w:color w:val="000000"/>
          <w:spacing w:val="0"/>
          <w:kern w:val="0"/>
          <w:position w:val="0"/>
          <w:sz w:val="32"/>
          <w:szCs w:val="32"/>
          <w:highlight w:val="none"/>
          <w:lang w:val="en-US" w:eastAsia="zh-CN" w:bidi="ar"/>
        </w:rPr>
        <w:t>为</w:t>
      </w:r>
      <w:r>
        <w:rPr>
          <w:rFonts w:hint="default" w:ascii="Times New Roman" w:hAnsi="Times New Roman" w:eastAsia="仿宋_GB2312" w:cs="Times New Roman"/>
          <w:color w:val="000000"/>
          <w:spacing w:val="0"/>
          <w:kern w:val="0"/>
          <w:position w:val="0"/>
          <w:sz w:val="32"/>
          <w:szCs w:val="32"/>
          <w:highlight w:val="none"/>
          <w:lang w:val="en-US" w:eastAsia="zh-CN" w:bidi="ar"/>
        </w:rPr>
        <w:t>深入贯彻习近平生态文明思想，落实《中华人民共和国生态环境法典》及省委、省政府关于秸秆综合利用指示要求，</w:t>
      </w:r>
      <w:r>
        <w:rPr>
          <w:rFonts w:hint="default" w:ascii="Times New Roman" w:hAnsi="Times New Roman" w:eastAsia="仿宋_GB2312" w:cs="Times New Roman"/>
          <w:color w:val="000000"/>
          <w:spacing w:val="0"/>
          <w:kern w:val="0"/>
          <w:position w:val="0"/>
          <w:sz w:val="32"/>
          <w:szCs w:val="32"/>
          <w:highlight w:val="none"/>
          <w:lang w:val="en-US" w:eastAsia="zh-CN" w:bidi="ar"/>
        </w:rPr>
        <w:t>充分调动各级政府、企业、社会公众合力推进农作物秸秆综合利用积极性，推动秸秆高值化利用增值，有效促进生态环境改善、农民增收和农业可持续发展，发挥财政资金精准扶持作用，根据</w:t>
      </w:r>
      <w:r>
        <w:rPr>
          <w:rFonts w:hint="default" w:ascii="Times New Roman" w:hAnsi="Times New Roman" w:eastAsia="仿宋_GB2312" w:cs="Times New Roman"/>
          <w:color w:val="000000"/>
          <w:spacing w:val="0"/>
          <w:kern w:val="0"/>
          <w:position w:val="0"/>
          <w:sz w:val="32"/>
          <w:szCs w:val="32"/>
          <w:highlight w:val="none"/>
          <w:lang w:val="en-US" w:eastAsia="zh-CN" w:bidi="ar"/>
        </w:rPr>
        <w:t>《农业农村部关于做好2026年农作物秸秆综合利用工作的通知》</w:t>
      </w:r>
      <w:r>
        <w:rPr>
          <w:rFonts w:hint="default" w:ascii="Times New Roman" w:hAnsi="Times New Roman" w:eastAsia="仿宋_GB2312" w:cs="Times New Roman"/>
          <w:color w:val="000000"/>
          <w:spacing w:val="0"/>
          <w:kern w:val="0"/>
          <w:position w:val="0"/>
          <w:sz w:val="32"/>
          <w:szCs w:val="32"/>
          <w:highlight w:val="none"/>
          <w:lang w:val="en-US" w:eastAsia="zh-CN" w:bidi="ar"/>
        </w:rPr>
        <w:t>要求，制定本实施方案。</w:t>
      </w:r>
    </w:p>
    <w:p w14:paraId="44C069C8">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firstLine="640" w:firstLineChars="200"/>
        <w:jc w:val="both"/>
        <w:textAlignment w:val="auto"/>
        <w:rPr>
          <w:rFonts w:hint="default" w:ascii="Times New Roman" w:hAnsi="Times New Roman" w:eastAsia="黑体" w:cs="Times New Roman"/>
          <w:b w:val="0"/>
          <w:bCs w:val="0"/>
          <w:color w:val="000000"/>
          <w:spacing w:val="0"/>
          <w:kern w:val="0"/>
          <w:position w:val="0"/>
          <w:sz w:val="32"/>
          <w:szCs w:val="32"/>
          <w:highlight w:val="none"/>
        </w:rPr>
      </w:pPr>
      <w:r>
        <w:rPr>
          <w:rFonts w:hint="default" w:ascii="Times New Roman" w:hAnsi="Times New Roman" w:eastAsia="黑体" w:cs="Times New Roman"/>
          <w:b w:val="0"/>
          <w:bCs w:val="0"/>
          <w:color w:val="000000"/>
          <w:spacing w:val="0"/>
          <w:kern w:val="0"/>
          <w:position w:val="0"/>
          <w:sz w:val="32"/>
          <w:szCs w:val="32"/>
          <w:highlight w:val="none"/>
        </w:rPr>
        <w:t>一、年度目标</w:t>
      </w:r>
    </w:p>
    <w:p w14:paraId="2038CB77">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left"/>
        <w:textAlignment w:val="auto"/>
        <w:rPr>
          <w:rFonts w:hint="default" w:ascii="Times New Roman" w:hAnsi="Times New Roman" w:eastAsia="仿宋_GB2312" w:cs="Times New Roman"/>
          <w:color w:val="000000"/>
          <w:spacing w:val="0"/>
          <w:kern w:val="0"/>
          <w:position w:val="0"/>
          <w:sz w:val="32"/>
          <w:szCs w:val="32"/>
          <w:highlight w:val="none"/>
          <w:lang w:val="en-US" w:eastAsia="zh-CN" w:bidi="ar"/>
        </w:rPr>
      </w:pPr>
      <w:r>
        <w:rPr>
          <w:rFonts w:hint="default" w:ascii="Times New Roman" w:hAnsi="Times New Roman" w:eastAsia="仿宋_GB2312" w:cs="Times New Roman"/>
          <w:color w:val="000000"/>
          <w:spacing w:val="0"/>
          <w:kern w:val="0"/>
          <w:position w:val="0"/>
          <w:sz w:val="32"/>
          <w:szCs w:val="32"/>
          <w:highlight w:val="none"/>
          <w:lang w:val="en-US" w:eastAsia="zh-CN" w:bidi="ar"/>
        </w:rPr>
        <w:t>2026年度，全省支持秸秆综合利用重点县20个以上，其中，建设饲料化利用重点县不少于6个，秸秆综合利用技术示范点80个以上。重点县秸秆综合利用率达到90%以上或比上年提高5个百分点。聚焦铁路、高速公路、国省干道、机场周边1公里及林边50米内</w:t>
      </w:r>
      <w:r>
        <w:rPr>
          <w:rFonts w:hint="default" w:ascii="Times New Roman" w:hAnsi="Times New Roman" w:eastAsia="仿宋_GB2312" w:cs="Times New Roman"/>
          <w:color w:val="000000"/>
          <w:spacing w:val="0"/>
          <w:kern w:val="0"/>
          <w:position w:val="0"/>
          <w:sz w:val="32"/>
          <w:szCs w:val="32"/>
          <w:highlight w:val="none"/>
          <w:lang w:val="en-US" w:eastAsia="zh-CN" w:bidi="ar"/>
        </w:rPr>
        <w:t>禁烧区域</w:t>
      </w:r>
      <w:r>
        <w:rPr>
          <w:rFonts w:hint="default" w:ascii="Times New Roman" w:hAnsi="Times New Roman" w:eastAsia="仿宋_GB2312" w:cs="Times New Roman"/>
          <w:color w:val="000000"/>
          <w:spacing w:val="0"/>
          <w:kern w:val="0"/>
          <w:position w:val="0"/>
          <w:sz w:val="32"/>
          <w:szCs w:val="32"/>
          <w:highlight w:val="none"/>
          <w:lang w:val="en-US" w:eastAsia="zh-CN" w:bidi="ar"/>
        </w:rPr>
        <w:t>，项目资金</w:t>
      </w:r>
      <w:r>
        <w:rPr>
          <w:rFonts w:hint="default" w:ascii="Times New Roman" w:hAnsi="Times New Roman" w:eastAsia="仿宋_GB2312" w:cs="Times New Roman"/>
          <w:color w:val="000000"/>
          <w:spacing w:val="0"/>
          <w:kern w:val="0"/>
          <w:position w:val="0"/>
          <w:sz w:val="32"/>
          <w:szCs w:val="32"/>
          <w:highlight w:val="none"/>
          <w:lang w:val="en-US" w:eastAsia="zh-CN" w:bidi="ar"/>
        </w:rPr>
        <w:t>予以适当</w:t>
      </w:r>
      <w:r>
        <w:rPr>
          <w:rFonts w:hint="default" w:ascii="Times New Roman" w:hAnsi="Times New Roman" w:eastAsia="仿宋_GB2312" w:cs="Times New Roman"/>
          <w:color w:val="000000"/>
          <w:spacing w:val="0"/>
          <w:kern w:val="0"/>
          <w:position w:val="0"/>
          <w:sz w:val="32"/>
          <w:szCs w:val="32"/>
          <w:highlight w:val="none"/>
          <w:lang w:val="en-US" w:eastAsia="zh-CN" w:bidi="ar"/>
        </w:rPr>
        <w:t>倾斜。在秸秆资源量较大县建设分布式原料化秸秆收储加工中心，健全“村收、乡转、县内收储加工”全链条秸秆收储运服务体系。</w:t>
      </w:r>
    </w:p>
    <w:p w14:paraId="28364AD3">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right="0" w:firstLine="640" w:firstLineChars="200"/>
        <w:jc w:val="both"/>
        <w:textAlignment w:val="auto"/>
        <w:rPr>
          <w:rFonts w:hint="default" w:ascii="Times New Roman" w:hAnsi="Times New Roman" w:eastAsia="黑体" w:cs="Times New Roman"/>
          <w:b w:val="0"/>
          <w:bCs w:val="0"/>
          <w:color w:val="000000"/>
          <w:spacing w:val="0"/>
          <w:kern w:val="0"/>
          <w:position w:val="0"/>
          <w:sz w:val="32"/>
          <w:szCs w:val="32"/>
          <w:highlight w:val="none"/>
        </w:rPr>
      </w:pPr>
      <w:r>
        <w:rPr>
          <w:rFonts w:hint="default" w:ascii="Times New Roman" w:hAnsi="Times New Roman" w:eastAsia="黑体" w:cs="Times New Roman"/>
          <w:b w:val="0"/>
          <w:bCs w:val="0"/>
          <w:color w:val="000000"/>
          <w:spacing w:val="0"/>
          <w:kern w:val="0"/>
          <w:position w:val="0"/>
          <w:sz w:val="32"/>
          <w:szCs w:val="32"/>
          <w:highlight w:val="none"/>
        </w:rPr>
        <w:t>二、资金支持</w:t>
      </w:r>
    </w:p>
    <w:p w14:paraId="05D72331">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3" w:firstLineChars="200"/>
        <w:jc w:val="both"/>
        <w:textAlignment w:val="auto"/>
        <w:rPr>
          <w:rFonts w:hint="default" w:ascii="Times New Roman" w:hAnsi="Times New Roman" w:eastAsia="仿宋_GB2312" w:cs="Times New Roman"/>
          <w:color w:val="0000FF"/>
          <w:spacing w:val="0"/>
          <w:kern w:val="0"/>
          <w:position w:val="0"/>
          <w:sz w:val="32"/>
          <w:szCs w:val="32"/>
          <w:highlight w:val="none"/>
          <w:lang w:val="en-US"/>
        </w:rPr>
      </w:pPr>
      <w:r>
        <w:rPr>
          <w:rFonts w:hint="default" w:ascii="Times New Roman" w:hAnsi="Times New Roman" w:eastAsia="楷体_GB2312" w:cs="Times New Roman"/>
          <w:color w:val="000000"/>
          <w:spacing w:val="0"/>
          <w:kern w:val="0"/>
          <w:position w:val="0"/>
          <w:sz w:val="32"/>
          <w:szCs w:val="32"/>
          <w:highlight w:val="none"/>
        </w:rPr>
        <w:t>（一）</w:t>
      </w:r>
      <w:r>
        <w:rPr>
          <w:rFonts w:hint="default" w:ascii="Times New Roman" w:hAnsi="Times New Roman" w:eastAsia="楷体_GB2312" w:cs="Times New Roman"/>
          <w:color w:val="000000"/>
          <w:spacing w:val="0"/>
          <w:kern w:val="0"/>
          <w:position w:val="0"/>
          <w:sz w:val="32"/>
          <w:szCs w:val="32"/>
          <w:highlight w:val="none"/>
          <w:lang w:val="en-US" w:eastAsia="zh-CN"/>
        </w:rPr>
        <w:t>支持</w:t>
      </w:r>
      <w:r>
        <w:rPr>
          <w:rFonts w:hint="default" w:ascii="Times New Roman" w:hAnsi="Times New Roman" w:eastAsia="楷体_GB2312" w:cs="Times New Roman"/>
          <w:color w:val="000000"/>
          <w:spacing w:val="0"/>
          <w:kern w:val="0"/>
          <w:position w:val="0"/>
          <w:sz w:val="32"/>
          <w:szCs w:val="32"/>
          <w:highlight w:val="none"/>
        </w:rPr>
        <w:t>对象</w:t>
      </w:r>
      <w:r>
        <w:rPr>
          <w:rFonts w:hint="default" w:ascii="Times New Roman" w:hAnsi="Times New Roman" w:eastAsia="楷体_GB2312" w:cs="Times New Roman"/>
          <w:color w:val="000000"/>
          <w:spacing w:val="0"/>
          <w:kern w:val="0"/>
          <w:position w:val="0"/>
          <w:sz w:val="32"/>
          <w:szCs w:val="32"/>
          <w:highlight w:val="none"/>
          <w:lang w:eastAsia="zh-CN"/>
        </w:rPr>
        <w:t>。</w:t>
      </w: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按照自主参与、自愿申报与综合评定相结合原则，在</w:t>
      </w:r>
      <w:r>
        <w:rPr>
          <w:rStyle w:val="10"/>
          <w:rFonts w:hint="default" w:ascii="Times New Roman" w:hAnsi="Times New Roman" w:eastAsia="仿宋_GB2312" w:cs="Times New Roman"/>
          <w:b w:val="0"/>
          <w:bCs w:val="0"/>
          <w:color w:val="auto"/>
          <w:spacing w:val="0"/>
          <w:kern w:val="0"/>
          <w:position w:val="0"/>
          <w:sz w:val="32"/>
          <w:szCs w:val="32"/>
          <w:highlight w:val="none"/>
          <w:lang w:val="en-US" w:eastAsia="zh-CN" w:bidi="ar"/>
        </w:rPr>
        <w:t>3</w:t>
      </w:r>
      <w:r>
        <w:rPr>
          <w:rStyle w:val="10"/>
          <w:rFonts w:hint="default" w:ascii="Times New Roman" w:hAnsi="Times New Roman" w:eastAsia="仿宋_GB2312" w:cs="Times New Roman"/>
          <w:b w:val="0"/>
          <w:bCs w:val="0"/>
          <w:color w:val="auto"/>
          <w:spacing w:val="0"/>
          <w:kern w:val="0"/>
          <w:position w:val="0"/>
          <w:sz w:val="32"/>
          <w:szCs w:val="32"/>
          <w:highlight w:val="none"/>
          <w:lang w:val="en-US" w:eastAsia="zh-CN" w:bidi="ar"/>
        </w:rPr>
        <w:t>2</w:t>
      </w:r>
      <w:r>
        <w:rPr>
          <w:rStyle w:val="10"/>
          <w:rFonts w:hint="default" w:ascii="Times New Roman" w:hAnsi="Times New Roman" w:eastAsia="仿宋_GB2312" w:cs="Times New Roman"/>
          <w:b w:val="0"/>
          <w:bCs w:val="0"/>
          <w:color w:val="000000"/>
          <w:spacing w:val="0"/>
          <w:kern w:val="0"/>
          <w:position w:val="0"/>
          <w:sz w:val="32"/>
          <w:szCs w:val="32"/>
          <w:highlight w:val="none"/>
          <w:lang w:val="en-US" w:eastAsia="zh-CN" w:bidi="ar"/>
        </w:rPr>
        <w:t>个秸秆资源量较大县</w:t>
      </w: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中确定秸秆综合利用重点县，安排中央农业生态资源保护资金给予支持。重点支持承担秸秆“五化”利用、秸秆收储运服务、</w:t>
      </w:r>
      <w:r>
        <w:rPr>
          <w:rStyle w:val="10"/>
          <w:rFonts w:hint="default" w:ascii="Times New Roman" w:hAnsi="Times New Roman" w:eastAsia="仿宋_GB2312" w:cs="Times New Roman"/>
          <w:b w:val="0"/>
          <w:bCs w:val="0"/>
          <w:color w:val="000000"/>
          <w:spacing w:val="0"/>
          <w:kern w:val="0"/>
          <w:position w:val="0"/>
          <w:sz w:val="32"/>
          <w:szCs w:val="32"/>
          <w:highlight w:val="none"/>
          <w:lang w:val="en-US" w:eastAsia="zh-CN" w:bidi="ar"/>
        </w:rPr>
        <w:t>分布式原料化秸秆收储加工中心建设运营</w:t>
      </w: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的企业、新型农业经营主体、村集体经济组织及个人，具体补贴对象由各地根据实际确定。</w:t>
      </w:r>
    </w:p>
    <w:p w14:paraId="0584F7DC">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3" w:firstLineChars="200"/>
        <w:jc w:val="both"/>
        <w:textAlignment w:val="auto"/>
        <w:rPr>
          <w:rFonts w:hint="default" w:ascii="Times New Roman" w:hAnsi="Times New Roman" w:eastAsia="仿宋_GB2312" w:cs="Times New Roman"/>
          <w:b w:val="0"/>
          <w:bCs w:val="0"/>
          <w:color w:val="0000FF"/>
          <w:spacing w:val="0"/>
          <w:kern w:val="0"/>
          <w:position w:val="0"/>
          <w:sz w:val="32"/>
          <w:szCs w:val="32"/>
          <w:highlight w:val="none"/>
          <w:lang w:val="en-US" w:eastAsia="zh-CN" w:bidi="ar"/>
        </w:rPr>
      </w:pPr>
      <w:r>
        <w:rPr>
          <w:rFonts w:hint="default" w:ascii="Times New Roman" w:hAnsi="Times New Roman" w:eastAsia="楷体_GB2312" w:cs="Times New Roman"/>
          <w:color w:val="000000"/>
          <w:spacing w:val="0"/>
          <w:kern w:val="0"/>
          <w:position w:val="0"/>
          <w:sz w:val="32"/>
          <w:szCs w:val="32"/>
          <w:highlight w:val="none"/>
        </w:rPr>
        <w:t>（二）</w:t>
      </w:r>
      <w:r>
        <w:rPr>
          <w:rFonts w:hint="default" w:ascii="Times New Roman" w:hAnsi="Times New Roman" w:eastAsia="楷体_GB2312" w:cs="Times New Roman"/>
          <w:color w:val="000000"/>
          <w:spacing w:val="0"/>
          <w:kern w:val="0"/>
          <w:position w:val="0"/>
          <w:sz w:val="32"/>
          <w:szCs w:val="32"/>
          <w:highlight w:val="none"/>
          <w:lang w:val="en-US" w:eastAsia="zh-CN"/>
        </w:rPr>
        <w:t>支持</w:t>
      </w:r>
      <w:r>
        <w:rPr>
          <w:rFonts w:hint="default" w:ascii="Times New Roman" w:hAnsi="Times New Roman" w:eastAsia="楷体_GB2312" w:cs="Times New Roman"/>
          <w:color w:val="000000"/>
          <w:spacing w:val="0"/>
          <w:kern w:val="0"/>
          <w:position w:val="0"/>
          <w:sz w:val="32"/>
          <w:szCs w:val="32"/>
          <w:highlight w:val="none"/>
        </w:rPr>
        <w:t>方式</w:t>
      </w:r>
      <w:r>
        <w:rPr>
          <w:rFonts w:hint="default" w:ascii="Times New Roman" w:hAnsi="Times New Roman" w:eastAsia="楷体_GB2312" w:cs="Times New Roman"/>
          <w:color w:val="000000"/>
          <w:spacing w:val="0"/>
          <w:kern w:val="0"/>
          <w:position w:val="0"/>
          <w:sz w:val="32"/>
          <w:szCs w:val="32"/>
          <w:highlight w:val="none"/>
          <w:lang w:eastAsia="zh-CN"/>
        </w:rPr>
        <w:t>。</w:t>
      </w: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资金实行总量控制。各重点县</w:t>
      </w: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在保证完成约束性任务基础上，</w:t>
      </w: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可结合实际，自行确定补贴标准和直接补助、先建后补、以奖代补等补贴方式，经县级农业农村部门检查验收合格后按规定兑付资金。</w:t>
      </w:r>
    </w:p>
    <w:p w14:paraId="70F4DAAC">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default" w:ascii="Times New Roman" w:hAnsi="Times New Roman" w:eastAsia="黑体" w:cs="Times New Roman"/>
          <w:b w:val="0"/>
          <w:bCs w:val="0"/>
          <w:color w:val="000000"/>
          <w:spacing w:val="0"/>
          <w:kern w:val="0"/>
          <w:position w:val="0"/>
          <w:sz w:val="32"/>
          <w:szCs w:val="32"/>
          <w:highlight w:val="none"/>
        </w:rPr>
      </w:pPr>
      <w:r>
        <w:rPr>
          <w:rFonts w:hint="default" w:ascii="Times New Roman" w:hAnsi="Times New Roman" w:eastAsia="黑体" w:cs="Times New Roman"/>
          <w:b w:val="0"/>
          <w:bCs w:val="0"/>
          <w:color w:val="000000"/>
          <w:spacing w:val="0"/>
          <w:kern w:val="0"/>
          <w:position w:val="0"/>
          <w:sz w:val="32"/>
          <w:szCs w:val="32"/>
          <w:highlight w:val="none"/>
        </w:rPr>
        <w:t>三、工作重点</w:t>
      </w:r>
    </w:p>
    <w:p w14:paraId="1952EC35">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default" w:ascii="Times New Roman" w:hAnsi="Times New Roman" w:eastAsia="仿宋_GB2312" w:cs="Times New Roman"/>
          <w:color w:val="000000"/>
          <w:spacing w:val="0"/>
          <w:kern w:val="0"/>
          <w:position w:val="0"/>
          <w:sz w:val="32"/>
          <w:szCs w:val="32"/>
          <w:highlight w:val="none"/>
        </w:rPr>
      </w:pPr>
      <w:r>
        <w:rPr>
          <w:rFonts w:hint="default" w:ascii="Times New Roman" w:hAnsi="Times New Roman" w:eastAsia="仿宋_GB2312" w:cs="Times New Roman"/>
          <w:color w:val="000000"/>
          <w:spacing w:val="0"/>
          <w:kern w:val="0"/>
          <w:position w:val="0"/>
          <w:sz w:val="32"/>
          <w:szCs w:val="32"/>
          <w:highlight w:val="none"/>
          <w:lang w:val="en-US" w:eastAsia="zh-CN" w:bidi="ar"/>
        </w:rPr>
        <w:t>重点支持项目县秸秆“五化”利用产业化发展、秸秆收储运体系健全完善、新技术新装备推广、还田生态效应监测等，不断延长秸秆综合利用产业链。</w:t>
      </w:r>
    </w:p>
    <w:p w14:paraId="4AE9EB89">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3" w:firstLineChars="200"/>
        <w:jc w:val="both"/>
        <w:textAlignment w:val="auto"/>
        <w:rPr>
          <w:rFonts w:hint="default" w:ascii="Times New Roman" w:hAnsi="Times New Roman" w:eastAsia="楷体_GB2312" w:cs="Times New Roman"/>
          <w:color w:val="000000"/>
          <w:spacing w:val="0"/>
          <w:kern w:val="0"/>
          <w:position w:val="0"/>
          <w:sz w:val="32"/>
          <w:szCs w:val="32"/>
          <w:highlight w:val="none"/>
        </w:rPr>
      </w:pPr>
      <w:r>
        <w:rPr>
          <w:rFonts w:hint="default" w:ascii="Times New Roman" w:hAnsi="Times New Roman" w:eastAsia="楷体_GB2312" w:cs="Times New Roman"/>
          <w:color w:val="000000"/>
          <w:spacing w:val="0"/>
          <w:kern w:val="0"/>
          <w:position w:val="0"/>
          <w:sz w:val="32"/>
          <w:szCs w:val="32"/>
          <w:highlight w:val="none"/>
        </w:rPr>
        <w:t>（一）强化“五化”综合利用</w:t>
      </w:r>
    </w:p>
    <w:p w14:paraId="5A74538E">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leftChars="0" w:right="0" w:rightChars="0" w:firstLine="643" w:firstLineChars="200"/>
        <w:jc w:val="both"/>
        <w:textAlignment w:val="auto"/>
        <w:rPr>
          <w:rFonts w:hint="default" w:ascii="Times New Roman" w:hAnsi="Times New Roman" w:eastAsia="仿宋_GB2312" w:cs="Times New Roman"/>
          <w:color w:val="000000"/>
          <w:spacing w:val="0"/>
          <w:kern w:val="0"/>
          <w:position w:val="0"/>
          <w:sz w:val="32"/>
          <w:szCs w:val="32"/>
          <w:highlight w:val="none"/>
          <w:lang w:val="en-US" w:eastAsia="zh-CN"/>
        </w:rPr>
      </w:pPr>
      <w:r>
        <w:rPr>
          <w:rStyle w:val="10"/>
          <w:rFonts w:hint="default" w:ascii="Times New Roman" w:hAnsi="Times New Roman" w:eastAsia="仿宋_GB2312" w:cs="Times New Roman"/>
          <w:b/>
          <w:bCs/>
          <w:color w:val="000000"/>
          <w:spacing w:val="0"/>
          <w:kern w:val="0"/>
          <w:position w:val="0"/>
          <w:sz w:val="32"/>
          <w:szCs w:val="32"/>
          <w:highlight w:val="none"/>
          <w:lang w:val="en-US" w:eastAsia="zh-CN"/>
        </w:rPr>
        <w:t>1.</w:t>
      </w:r>
      <w:r>
        <w:rPr>
          <w:rStyle w:val="10"/>
          <w:rFonts w:hint="default" w:ascii="Times New Roman" w:hAnsi="Times New Roman" w:eastAsia="仿宋_GB2312" w:cs="Times New Roman"/>
          <w:b/>
          <w:bCs/>
          <w:color w:val="000000"/>
          <w:spacing w:val="0"/>
          <w:kern w:val="0"/>
          <w:position w:val="0"/>
          <w:sz w:val="32"/>
          <w:szCs w:val="32"/>
          <w:highlight w:val="none"/>
        </w:rPr>
        <w:t>肥料化利用</w:t>
      </w:r>
      <w:r>
        <w:rPr>
          <w:rFonts w:hint="default" w:ascii="Times New Roman" w:hAnsi="Times New Roman" w:eastAsia="仿宋_GB2312" w:cs="Times New Roman"/>
          <w:color w:val="000000"/>
          <w:spacing w:val="0"/>
          <w:kern w:val="0"/>
          <w:position w:val="0"/>
          <w:sz w:val="32"/>
          <w:szCs w:val="32"/>
          <w:highlight w:val="none"/>
        </w:rPr>
        <w:t>。对于在重点县内开展玉米、水稻秸秆还田作业和秸秆制有机肥的实施主体给予适当作业补贴。其中重点鼓励实施玉米秋季深翻、条耕、碎混等秸秆大量还田作业的，或实施水稻秋季搅浆、旱平免水耙、喷施腐熟剂等作业的，由县（市、区）测定标准据实补贴</w:t>
      </w:r>
      <w:r>
        <w:rPr>
          <w:rFonts w:hint="default" w:ascii="Times New Roman" w:hAnsi="Times New Roman" w:eastAsia="仿宋_GB2312" w:cs="Times New Roman"/>
          <w:color w:val="000000"/>
          <w:spacing w:val="0"/>
          <w:kern w:val="0"/>
          <w:position w:val="0"/>
          <w:sz w:val="32"/>
          <w:szCs w:val="32"/>
          <w:highlight w:val="none"/>
          <w:lang w:eastAsia="zh-CN"/>
        </w:rPr>
        <w:t>，支持</w:t>
      </w:r>
      <w:r>
        <w:rPr>
          <w:rFonts w:hint="default" w:ascii="Times New Roman" w:hAnsi="Times New Roman" w:eastAsia="仿宋_GB2312" w:cs="Times New Roman"/>
          <w:color w:val="000000"/>
          <w:spacing w:val="0"/>
          <w:kern w:val="0"/>
          <w:position w:val="0"/>
          <w:sz w:val="32"/>
          <w:szCs w:val="32"/>
          <w:highlight w:val="none"/>
        </w:rPr>
        <w:t>优先在禁烧区内实施。</w:t>
      </w:r>
      <w:r>
        <w:rPr>
          <w:rFonts w:hint="default" w:ascii="Times New Roman" w:hAnsi="Times New Roman" w:eastAsia="仿宋_GB2312" w:cs="Times New Roman"/>
          <w:color w:val="000000"/>
          <w:spacing w:val="0"/>
          <w:kern w:val="0"/>
          <w:position w:val="0"/>
          <w:sz w:val="32"/>
          <w:szCs w:val="32"/>
          <w:highlight w:val="none"/>
          <w:lang w:eastAsia="zh-CN"/>
        </w:rPr>
        <w:t>重点提高规模化种植农户还田机械化、标准化水平，发挥秸秆还田长期效应。</w:t>
      </w:r>
      <w:r>
        <w:rPr>
          <w:rFonts w:hint="default" w:ascii="Times New Roman" w:hAnsi="Times New Roman" w:eastAsia="仿宋_GB2312" w:cs="Times New Roman"/>
          <w:color w:val="000000"/>
          <w:spacing w:val="0"/>
          <w:kern w:val="0"/>
          <w:position w:val="0"/>
          <w:sz w:val="32"/>
          <w:szCs w:val="32"/>
          <w:highlight w:val="none"/>
          <w:lang w:val="en-US" w:eastAsia="zh-CN"/>
        </w:rPr>
        <w:t>对小农户秸秆还田技术开展巡回指导，提高技术到位率</w:t>
      </w:r>
      <w:r>
        <w:rPr>
          <w:rFonts w:hint="default" w:ascii="Times New Roman" w:hAnsi="Times New Roman" w:eastAsia="仿宋_GB2312" w:cs="Times New Roman"/>
          <w:color w:val="000000"/>
          <w:spacing w:val="0"/>
          <w:kern w:val="0"/>
          <w:position w:val="0"/>
          <w:sz w:val="32"/>
          <w:szCs w:val="32"/>
          <w:highlight w:val="none"/>
          <w:lang w:eastAsia="zh-CN"/>
        </w:rPr>
        <w:t>。秸秆还田比例超过</w:t>
      </w:r>
      <w:r>
        <w:rPr>
          <w:rFonts w:hint="default" w:ascii="Times New Roman" w:hAnsi="Times New Roman" w:eastAsia="仿宋_GB2312" w:cs="Times New Roman"/>
          <w:color w:val="000000"/>
          <w:spacing w:val="0"/>
          <w:kern w:val="0"/>
          <w:position w:val="0"/>
          <w:sz w:val="32"/>
          <w:szCs w:val="32"/>
          <w:highlight w:val="none"/>
          <w:lang w:val="en-US" w:eastAsia="zh-CN"/>
        </w:rPr>
        <w:t>40%的重点县，要结合主要作物开展技术模式总结。</w:t>
      </w:r>
    </w:p>
    <w:p w14:paraId="2FFB9DB3">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leftChars="0" w:right="0" w:rightChars="0" w:firstLine="643" w:firstLineChars="200"/>
        <w:jc w:val="both"/>
        <w:textAlignment w:val="auto"/>
        <w:rPr>
          <w:rFonts w:hint="default" w:ascii="Times New Roman" w:hAnsi="Times New Roman" w:eastAsia="仿宋_GB2312" w:cs="Times New Roman"/>
          <w:color w:val="000000"/>
          <w:spacing w:val="0"/>
          <w:kern w:val="0"/>
          <w:position w:val="0"/>
          <w:sz w:val="32"/>
          <w:szCs w:val="32"/>
          <w:highlight w:val="none"/>
          <w:lang w:eastAsia="zh-CN"/>
        </w:rPr>
      </w:pPr>
      <w:r>
        <w:rPr>
          <w:rStyle w:val="10"/>
          <w:rFonts w:hint="default" w:ascii="Times New Roman" w:hAnsi="Times New Roman" w:eastAsia="仿宋_GB2312" w:cs="Times New Roman"/>
          <w:b/>
          <w:bCs/>
          <w:color w:val="000000"/>
          <w:spacing w:val="0"/>
          <w:kern w:val="0"/>
          <w:position w:val="0"/>
          <w:sz w:val="32"/>
          <w:szCs w:val="32"/>
          <w:highlight w:val="none"/>
          <w:lang w:val="en-US" w:eastAsia="zh-CN"/>
        </w:rPr>
        <w:t>2.</w:t>
      </w:r>
      <w:r>
        <w:rPr>
          <w:rStyle w:val="10"/>
          <w:rFonts w:hint="default" w:ascii="Times New Roman" w:hAnsi="Times New Roman" w:eastAsia="仿宋_GB2312" w:cs="Times New Roman"/>
          <w:b/>
          <w:bCs/>
          <w:color w:val="000000"/>
          <w:spacing w:val="0"/>
          <w:kern w:val="0"/>
          <w:position w:val="0"/>
          <w:sz w:val="32"/>
          <w:szCs w:val="32"/>
          <w:highlight w:val="none"/>
        </w:rPr>
        <w:t>饲料化利用</w:t>
      </w:r>
      <w:r>
        <w:rPr>
          <w:rFonts w:hint="default" w:ascii="Times New Roman" w:hAnsi="Times New Roman" w:eastAsia="仿宋_GB2312" w:cs="Times New Roman"/>
          <w:color w:val="000000"/>
          <w:spacing w:val="0"/>
          <w:kern w:val="0"/>
          <w:position w:val="0"/>
          <w:sz w:val="32"/>
          <w:szCs w:val="32"/>
          <w:highlight w:val="none"/>
        </w:rPr>
        <w:t>。加快秸秆粉碎、</w:t>
      </w:r>
      <w:r>
        <w:rPr>
          <w:rFonts w:hint="default" w:ascii="Times New Roman" w:hAnsi="Times New Roman" w:eastAsia="仿宋_GB2312" w:cs="Times New Roman"/>
          <w:color w:val="000000"/>
          <w:spacing w:val="0"/>
          <w:kern w:val="0"/>
          <w:position w:val="0"/>
          <w:sz w:val="32"/>
          <w:szCs w:val="32"/>
          <w:highlight w:val="none"/>
          <w:lang w:val="en-US" w:eastAsia="zh-CN"/>
        </w:rPr>
        <w:t>揉</w:t>
      </w:r>
      <w:r>
        <w:rPr>
          <w:rFonts w:hint="default" w:ascii="Times New Roman" w:hAnsi="Times New Roman" w:eastAsia="仿宋_GB2312" w:cs="Times New Roman"/>
          <w:color w:val="000000"/>
          <w:spacing w:val="0"/>
          <w:kern w:val="0"/>
          <w:position w:val="0"/>
          <w:sz w:val="32"/>
          <w:szCs w:val="32"/>
          <w:highlight w:val="none"/>
        </w:rPr>
        <w:t>丝、膨化、汽爆、菌酶复合处理等先进适用技术推广应用，配套秸秆饲料化加工利用高效智能装备。对单户收贮加工100吨以上黄贮发酵饲料、反刍动物配合饲料的，每吨秸秆补贴35元。对新（改、扩）建500立方米以上黄（青）贮窖的，每立方米补贴30元。</w:t>
      </w:r>
      <w:r>
        <w:rPr>
          <w:rFonts w:hint="default" w:ascii="Times New Roman" w:hAnsi="Times New Roman" w:eastAsia="仿宋_GB2312" w:cs="Times New Roman"/>
          <w:color w:val="000000"/>
          <w:spacing w:val="0"/>
          <w:kern w:val="0"/>
          <w:position w:val="0"/>
          <w:sz w:val="32"/>
          <w:szCs w:val="32"/>
          <w:highlight w:val="none"/>
          <w:lang w:eastAsia="zh-CN"/>
        </w:rPr>
        <w:t>培育秸秆饲料化龙头企业，加快推进秸秆转化初加工饲料、成型饲料和营养强化饲料，提高秸秆饲料生产和利用标准化水平，提升秸秆饲料化产品质量。</w:t>
      </w:r>
    </w:p>
    <w:p w14:paraId="61E9D94E">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leftChars="0" w:right="0" w:rightChars="0" w:firstLine="643" w:firstLineChars="200"/>
        <w:jc w:val="both"/>
        <w:textAlignment w:val="auto"/>
        <w:rPr>
          <w:rFonts w:hint="default" w:ascii="Times New Roman" w:hAnsi="Times New Roman" w:eastAsia="仿宋_GB2312" w:cs="Times New Roman"/>
          <w:color w:val="000000"/>
          <w:spacing w:val="0"/>
          <w:kern w:val="0"/>
          <w:position w:val="0"/>
          <w:sz w:val="32"/>
          <w:szCs w:val="32"/>
          <w:highlight w:val="none"/>
        </w:rPr>
      </w:pPr>
      <w:r>
        <w:rPr>
          <w:rStyle w:val="10"/>
          <w:rFonts w:hint="default" w:ascii="Times New Roman" w:hAnsi="Times New Roman" w:eastAsia="仿宋_GB2312" w:cs="Times New Roman"/>
          <w:b/>
          <w:bCs/>
          <w:color w:val="000000"/>
          <w:spacing w:val="0"/>
          <w:kern w:val="0"/>
          <w:position w:val="0"/>
          <w:sz w:val="32"/>
          <w:szCs w:val="32"/>
          <w:highlight w:val="none"/>
          <w:lang w:val="en-US" w:eastAsia="zh-CN"/>
        </w:rPr>
        <w:t>3.</w:t>
      </w:r>
      <w:r>
        <w:rPr>
          <w:rStyle w:val="10"/>
          <w:rFonts w:hint="default" w:ascii="Times New Roman" w:hAnsi="Times New Roman" w:eastAsia="仿宋_GB2312" w:cs="Times New Roman"/>
          <w:b/>
          <w:bCs/>
          <w:color w:val="000000"/>
          <w:spacing w:val="0"/>
          <w:kern w:val="0"/>
          <w:position w:val="0"/>
          <w:sz w:val="32"/>
          <w:szCs w:val="32"/>
          <w:highlight w:val="none"/>
        </w:rPr>
        <w:t>能源化利用</w:t>
      </w:r>
      <w:r>
        <w:rPr>
          <w:rFonts w:hint="default" w:ascii="Times New Roman" w:hAnsi="Times New Roman" w:eastAsia="仿宋_GB2312" w:cs="Times New Roman"/>
          <w:color w:val="000000"/>
          <w:spacing w:val="0"/>
          <w:kern w:val="0"/>
          <w:position w:val="0"/>
          <w:sz w:val="32"/>
          <w:szCs w:val="32"/>
          <w:highlight w:val="none"/>
        </w:rPr>
        <w:t>。支持秸秆打捆直燃、成型燃料、沼气、生物天然气、热解气化、生物质热电联产等能源化利用技术，鼓励探索秸秆制生物甲醇、纤维素乙醇等先进液体燃料技术</w:t>
      </w:r>
      <w:r>
        <w:rPr>
          <w:rFonts w:hint="default" w:ascii="Times New Roman" w:hAnsi="Times New Roman" w:eastAsia="仿宋_GB2312" w:cs="Times New Roman"/>
          <w:color w:val="000000"/>
          <w:spacing w:val="0"/>
          <w:kern w:val="0"/>
          <w:position w:val="0"/>
          <w:sz w:val="32"/>
          <w:szCs w:val="32"/>
          <w:highlight w:val="none"/>
          <w:lang w:eastAsia="zh-CN"/>
        </w:rPr>
        <w:t>。</w:t>
      </w:r>
      <w:r>
        <w:rPr>
          <w:rFonts w:hint="default" w:ascii="Times New Roman" w:hAnsi="Times New Roman" w:eastAsia="仿宋_GB2312" w:cs="Times New Roman"/>
          <w:color w:val="000000"/>
          <w:spacing w:val="0"/>
          <w:kern w:val="0"/>
          <w:position w:val="0"/>
          <w:sz w:val="32"/>
          <w:szCs w:val="32"/>
          <w:highlight w:val="none"/>
          <w:lang w:val="en-US" w:eastAsia="zh-CN"/>
        </w:rPr>
        <w:t>鼓励</w:t>
      </w:r>
      <w:r>
        <w:rPr>
          <w:rFonts w:hint="default" w:ascii="Times New Roman" w:hAnsi="Times New Roman" w:eastAsia="仿宋_GB2312" w:cs="Times New Roman"/>
          <w:color w:val="000000"/>
          <w:spacing w:val="0"/>
          <w:kern w:val="0"/>
          <w:position w:val="0"/>
          <w:sz w:val="32"/>
          <w:szCs w:val="32"/>
          <w:highlight w:val="none"/>
        </w:rPr>
        <w:t>各地利用中央预算内投资专项等资金，谋划实施绿氢、绿醇、生物质热电联产等</w:t>
      </w:r>
      <w:r>
        <w:rPr>
          <w:rFonts w:hint="default" w:ascii="Times New Roman" w:hAnsi="Times New Roman" w:eastAsia="仿宋_GB2312" w:cs="Times New Roman"/>
          <w:color w:val="000000"/>
          <w:spacing w:val="0"/>
          <w:kern w:val="0"/>
          <w:position w:val="0"/>
          <w:sz w:val="32"/>
          <w:szCs w:val="32"/>
          <w:highlight w:val="none"/>
          <w:lang w:val="en-US" w:eastAsia="zh-CN"/>
        </w:rPr>
        <w:t>能源化</w:t>
      </w:r>
      <w:r>
        <w:rPr>
          <w:rFonts w:hint="default" w:ascii="Times New Roman" w:hAnsi="Times New Roman" w:eastAsia="仿宋_GB2312" w:cs="Times New Roman"/>
          <w:color w:val="000000"/>
          <w:spacing w:val="0"/>
          <w:kern w:val="0"/>
          <w:position w:val="0"/>
          <w:sz w:val="32"/>
          <w:szCs w:val="32"/>
          <w:highlight w:val="none"/>
        </w:rPr>
        <w:t>利用项目，利用技术改造、装备升级和产能提升，拓宽秸秆能源化利用途径。</w:t>
      </w:r>
    </w:p>
    <w:p w14:paraId="0ADD5F4B">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leftChars="0" w:right="0" w:rightChars="0" w:firstLine="643" w:firstLineChars="200"/>
        <w:jc w:val="both"/>
        <w:textAlignment w:val="auto"/>
        <w:rPr>
          <w:rFonts w:hint="default" w:ascii="Times New Roman" w:hAnsi="Times New Roman" w:eastAsia="仿宋_GB2312" w:cs="Times New Roman"/>
          <w:color w:val="000000"/>
          <w:spacing w:val="0"/>
          <w:kern w:val="0"/>
          <w:position w:val="0"/>
          <w:sz w:val="32"/>
          <w:szCs w:val="32"/>
          <w:highlight w:val="none"/>
        </w:rPr>
      </w:pPr>
      <w:r>
        <w:rPr>
          <w:rStyle w:val="10"/>
          <w:rFonts w:hint="default" w:ascii="Times New Roman" w:hAnsi="Times New Roman" w:eastAsia="仿宋_GB2312" w:cs="Times New Roman"/>
          <w:b/>
          <w:bCs/>
          <w:color w:val="000000"/>
          <w:spacing w:val="0"/>
          <w:kern w:val="0"/>
          <w:position w:val="0"/>
          <w:sz w:val="32"/>
          <w:szCs w:val="32"/>
          <w:highlight w:val="none"/>
          <w:lang w:val="en-US" w:eastAsia="zh-CN"/>
        </w:rPr>
        <w:t>4.</w:t>
      </w:r>
      <w:r>
        <w:rPr>
          <w:rStyle w:val="10"/>
          <w:rFonts w:hint="default" w:ascii="Times New Roman" w:hAnsi="Times New Roman" w:eastAsia="仿宋_GB2312" w:cs="Times New Roman"/>
          <w:b/>
          <w:bCs/>
          <w:color w:val="000000"/>
          <w:spacing w:val="0"/>
          <w:kern w:val="0"/>
          <w:position w:val="0"/>
          <w:sz w:val="32"/>
          <w:szCs w:val="32"/>
          <w:highlight w:val="none"/>
        </w:rPr>
        <w:t>原料化利用</w:t>
      </w:r>
      <w:r>
        <w:rPr>
          <w:rFonts w:hint="default" w:ascii="Times New Roman" w:hAnsi="Times New Roman" w:eastAsia="仿宋_GB2312" w:cs="Times New Roman"/>
          <w:color w:val="000000"/>
          <w:spacing w:val="0"/>
          <w:kern w:val="0"/>
          <w:position w:val="0"/>
          <w:sz w:val="32"/>
          <w:szCs w:val="32"/>
          <w:highlight w:val="none"/>
        </w:rPr>
        <w:t>。支持以秸秆为原料生产人造板材、复合材料、清洁制浆、容器成型、生活用品、有机化工等原料化利用。</w:t>
      </w:r>
      <w:r>
        <w:rPr>
          <w:rFonts w:hint="default" w:ascii="Times New Roman" w:hAnsi="Times New Roman" w:eastAsia="仿宋_GB2312" w:cs="Times New Roman"/>
          <w:color w:val="000000"/>
          <w:spacing w:val="0"/>
          <w:kern w:val="0"/>
          <w:position w:val="0"/>
          <w:sz w:val="32"/>
          <w:szCs w:val="32"/>
          <w:highlight w:val="none"/>
          <w:lang w:val="en-US" w:eastAsia="zh-CN"/>
        </w:rPr>
        <w:t>鼓励各地利用中央预算内投资专项等资金，开展环保板材、炭基产品、聚乳酸等</w:t>
      </w:r>
      <w:r>
        <w:rPr>
          <w:rFonts w:hint="default" w:ascii="Times New Roman" w:hAnsi="Times New Roman" w:eastAsia="仿宋_GB2312" w:cs="Times New Roman"/>
          <w:color w:val="000000"/>
          <w:spacing w:val="0"/>
          <w:kern w:val="0"/>
          <w:position w:val="0"/>
          <w:sz w:val="32"/>
          <w:szCs w:val="32"/>
          <w:highlight w:val="none"/>
        </w:rPr>
        <w:t>秸秆</w:t>
      </w:r>
      <w:r>
        <w:rPr>
          <w:rFonts w:hint="default" w:ascii="Times New Roman" w:hAnsi="Times New Roman" w:eastAsia="仿宋_GB2312" w:cs="Times New Roman"/>
          <w:color w:val="000000"/>
          <w:spacing w:val="0"/>
          <w:kern w:val="0"/>
          <w:position w:val="0"/>
          <w:sz w:val="32"/>
          <w:szCs w:val="32"/>
          <w:highlight w:val="none"/>
          <w:lang w:val="en-US" w:eastAsia="zh-CN"/>
        </w:rPr>
        <w:t>原料</w:t>
      </w:r>
      <w:r>
        <w:rPr>
          <w:rFonts w:hint="default" w:ascii="Times New Roman" w:hAnsi="Times New Roman" w:eastAsia="仿宋_GB2312" w:cs="Times New Roman"/>
          <w:color w:val="000000"/>
          <w:spacing w:val="0"/>
          <w:kern w:val="0"/>
          <w:position w:val="0"/>
          <w:sz w:val="32"/>
          <w:szCs w:val="32"/>
          <w:highlight w:val="none"/>
        </w:rPr>
        <w:t>化利用</w:t>
      </w:r>
      <w:r>
        <w:rPr>
          <w:rFonts w:hint="default" w:ascii="Times New Roman" w:hAnsi="Times New Roman" w:eastAsia="仿宋_GB2312" w:cs="Times New Roman"/>
          <w:color w:val="000000"/>
          <w:spacing w:val="0"/>
          <w:kern w:val="0"/>
          <w:position w:val="0"/>
          <w:sz w:val="32"/>
          <w:szCs w:val="32"/>
          <w:highlight w:val="none"/>
          <w:lang w:val="en-US" w:eastAsia="zh-CN"/>
        </w:rPr>
        <w:t>项目，开展</w:t>
      </w:r>
      <w:r>
        <w:rPr>
          <w:rFonts w:hint="default" w:ascii="Times New Roman" w:hAnsi="Times New Roman" w:eastAsia="仿宋_GB2312" w:cs="Times New Roman"/>
          <w:color w:val="000000"/>
          <w:spacing w:val="0"/>
          <w:kern w:val="0"/>
          <w:position w:val="0"/>
          <w:sz w:val="32"/>
          <w:szCs w:val="32"/>
          <w:highlight w:val="none"/>
        </w:rPr>
        <w:t>技术改造、装备升级和产能提升，提高秸秆消纳和市场化运营能力。</w:t>
      </w:r>
    </w:p>
    <w:p w14:paraId="303A7381">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leftChars="0" w:right="0" w:rightChars="0" w:firstLine="643" w:firstLineChars="200"/>
        <w:jc w:val="both"/>
        <w:textAlignment w:val="auto"/>
        <w:rPr>
          <w:rFonts w:hint="default" w:ascii="Times New Roman" w:hAnsi="Times New Roman" w:eastAsia="仿宋_GB2312" w:cs="Times New Roman"/>
          <w:color w:val="000000"/>
          <w:spacing w:val="0"/>
          <w:kern w:val="0"/>
          <w:position w:val="0"/>
          <w:sz w:val="32"/>
          <w:szCs w:val="32"/>
          <w:highlight w:val="none"/>
        </w:rPr>
      </w:pPr>
      <w:r>
        <w:rPr>
          <w:rStyle w:val="10"/>
          <w:rFonts w:hint="default" w:ascii="Times New Roman" w:hAnsi="Times New Roman" w:eastAsia="仿宋_GB2312" w:cs="Times New Roman"/>
          <w:b/>
          <w:bCs/>
          <w:color w:val="000000"/>
          <w:spacing w:val="0"/>
          <w:kern w:val="0"/>
          <w:position w:val="0"/>
          <w:sz w:val="32"/>
          <w:szCs w:val="32"/>
          <w:highlight w:val="none"/>
          <w:lang w:val="en-US" w:eastAsia="zh-CN"/>
        </w:rPr>
        <w:t>5.</w:t>
      </w:r>
      <w:r>
        <w:rPr>
          <w:rStyle w:val="10"/>
          <w:rFonts w:hint="default" w:ascii="Times New Roman" w:hAnsi="Times New Roman" w:eastAsia="仿宋_GB2312" w:cs="Times New Roman"/>
          <w:b/>
          <w:bCs/>
          <w:color w:val="000000"/>
          <w:spacing w:val="0"/>
          <w:kern w:val="0"/>
          <w:position w:val="0"/>
          <w:sz w:val="32"/>
          <w:szCs w:val="32"/>
          <w:highlight w:val="none"/>
        </w:rPr>
        <w:t>基料化利用</w:t>
      </w:r>
      <w:r>
        <w:rPr>
          <w:rFonts w:hint="default" w:ascii="Times New Roman" w:hAnsi="Times New Roman" w:eastAsia="仿宋_GB2312" w:cs="Times New Roman"/>
          <w:color w:val="000000"/>
          <w:spacing w:val="0"/>
          <w:kern w:val="0"/>
          <w:position w:val="0"/>
          <w:sz w:val="32"/>
          <w:szCs w:val="32"/>
          <w:highlight w:val="none"/>
        </w:rPr>
        <w:t>。鼓励拓宽水稻育苗、花木、草坪基质、食用菌基质等基料化利用途径，推动木腐菌草腐化。对利用秸秆制造食用菌、水稻、园艺作物等基质的，每吨秸秆补贴60元。</w:t>
      </w:r>
    </w:p>
    <w:p w14:paraId="7AB7495A">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3" w:firstLineChars="200"/>
        <w:jc w:val="both"/>
        <w:textAlignment w:val="auto"/>
        <w:rPr>
          <w:rFonts w:hint="default" w:ascii="Times New Roman" w:hAnsi="Times New Roman" w:eastAsia="楷体_GB2312" w:cs="Times New Roman"/>
          <w:color w:val="000000"/>
          <w:spacing w:val="0"/>
          <w:kern w:val="0"/>
          <w:position w:val="0"/>
          <w:sz w:val="32"/>
          <w:szCs w:val="32"/>
          <w:highlight w:val="none"/>
        </w:rPr>
      </w:pPr>
      <w:r>
        <w:rPr>
          <w:rFonts w:hint="default" w:ascii="Times New Roman" w:hAnsi="Times New Roman" w:eastAsia="楷体_GB2312" w:cs="Times New Roman"/>
          <w:color w:val="000000"/>
          <w:spacing w:val="0"/>
          <w:kern w:val="0"/>
          <w:position w:val="0"/>
          <w:sz w:val="32"/>
          <w:szCs w:val="32"/>
          <w:highlight w:val="none"/>
        </w:rPr>
        <w:t>（二）健全收储运体系</w:t>
      </w:r>
    </w:p>
    <w:p w14:paraId="49E73004">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leftChars="0" w:right="0" w:rightChars="0" w:firstLine="640" w:firstLineChars="200"/>
        <w:jc w:val="both"/>
        <w:textAlignment w:val="auto"/>
        <w:rPr>
          <w:rFonts w:hint="default" w:ascii="Times New Roman" w:hAnsi="Times New Roman" w:eastAsia="仿宋_GB2312" w:cs="Times New Roman"/>
          <w:color w:val="000000"/>
          <w:spacing w:val="0"/>
          <w:kern w:val="0"/>
          <w:position w:val="0"/>
          <w:sz w:val="32"/>
          <w:szCs w:val="32"/>
          <w:highlight w:val="none"/>
          <w:lang w:val="en-US" w:eastAsia="zh-CN"/>
        </w:rPr>
      </w:pP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鼓励培育秸秆田间作业、离田打包、收集转运、初加工市场主体，</w:t>
      </w:r>
      <w:r>
        <w:rPr>
          <w:rFonts w:hint="default" w:ascii="Times New Roman" w:hAnsi="Times New Roman" w:eastAsia="仿宋_GB2312" w:cs="Times New Roman"/>
          <w:color w:val="000000"/>
          <w:spacing w:val="0"/>
          <w:kern w:val="0"/>
          <w:position w:val="0"/>
          <w:sz w:val="32"/>
          <w:szCs w:val="32"/>
          <w:highlight w:val="none"/>
        </w:rPr>
        <w:t>2026年优先在秸秆资源量较大县</w:t>
      </w:r>
      <w:r>
        <w:rPr>
          <w:rStyle w:val="10"/>
          <w:rFonts w:hint="default" w:ascii="Times New Roman" w:hAnsi="Times New Roman" w:eastAsia="仿宋_GB2312" w:cs="Times New Roman"/>
          <w:b w:val="0"/>
          <w:bCs w:val="0"/>
          <w:color w:val="000000"/>
          <w:spacing w:val="0"/>
          <w:kern w:val="0"/>
          <w:position w:val="0"/>
          <w:sz w:val="32"/>
          <w:szCs w:val="32"/>
          <w:highlight w:val="none"/>
          <w:lang w:val="en-US" w:eastAsia="zh-CN" w:bidi="ar"/>
        </w:rPr>
        <w:t>推进分布式原料化秸秆收储加工中心建设</w:t>
      </w:r>
      <w:r>
        <w:rPr>
          <w:rStyle w:val="10"/>
          <w:rFonts w:hint="default" w:ascii="Times New Roman" w:hAnsi="Times New Roman" w:eastAsia="仿宋_GB2312" w:cs="Times New Roman"/>
          <w:b w:val="0"/>
          <w:bCs w:val="0"/>
          <w:color w:val="000000"/>
          <w:spacing w:val="0"/>
          <w:kern w:val="0"/>
          <w:position w:val="0"/>
          <w:sz w:val="32"/>
          <w:szCs w:val="32"/>
          <w:highlight w:val="none"/>
          <w:lang w:val="en-US" w:eastAsia="zh-CN" w:bidi="ar"/>
        </w:rPr>
        <w:t>，建设补贴原则上可使用中央秸秆综合利用项目资金</w:t>
      </w:r>
      <w:r>
        <w:rPr>
          <w:rFonts w:hint="default" w:ascii="Times New Roman" w:hAnsi="Times New Roman" w:eastAsia="仿宋_GB2312" w:cs="Times New Roman"/>
          <w:color w:val="000000"/>
          <w:spacing w:val="0"/>
          <w:kern w:val="0"/>
          <w:position w:val="0"/>
          <w:sz w:val="32"/>
          <w:szCs w:val="32"/>
          <w:highlight w:val="none"/>
        </w:rPr>
        <w:t>最高145万元</w:t>
      </w:r>
      <w:r>
        <w:rPr>
          <w:rFonts w:hint="default" w:ascii="Times New Roman" w:hAnsi="Times New Roman" w:eastAsia="仿宋_GB2312" w:cs="Times New Roman"/>
          <w:color w:val="000000"/>
          <w:spacing w:val="0"/>
          <w:kern w:val="0"/>
          <w:position w:val="0"/>
          <w:sz w:val="32"/>
          <w:szCs w:val="32"/>
          <w:highlight w:val="none"/>
          <w:lang w:eastAsia="zh-CN"/>
        </w:rPr>
        <w:t>，不足部分由各地统筹解决。各地应</w:t>
      </w:r>
      <w:r>
        <w:rPr>
          <w:rFonts w:hint="default" w:ascii="Times New Roman" w:hAnsi="Times New Roman" w:eastAsia="仿宋_GB2312" w:cs="Times New Roman"/>
          <w:color w:val="000000"/>
          <w:spacing w:val="0"/>
          <w:kern w:val="0"/>
          <w:position w:val="0"/>
          <w:sz w:val="32"/>
          <w:szCs w:val="32"/>
          <w:highlight w:val="none"/>
        </w:rPr>
        <w:t>确保用地合规、安全环保、功能齐全、长期运营</w:t>
      </w:r>
      <w:r>
        <w:rPr>
          <w:rFonts w:hint="default" w:ascii="Times New Roman" w:hAnsi="Times New Roman" w:eastAsia="仿宋_GB2312" w:cs="Times New Roman"/>
          <w:color w:val="000000"/>
          <w:spacing w:val="0"/>
          <w:kern w:val="0"/>
          <w:position w:val="0"/>
          <w:sz w:val="32"/>
          <w:szCs w:val="32"/>
          <w:highlight w:val="none"/>
          <w:lang w:eastAsia="zh-CN"/>
        </w:rPr>
        <w:t>，</w:t>
      </w:r>
      <w:r>
        <w:rPr>
          <w:rFonts w:hint="default" w:ascii="Times New Roman" w:hAnsi="Times New Roman" w:eastAsia="仿宋_GB2312" w:cs="Times New Roman"/>
          <w:color w:val="000000"/>
          <w:spacing w:val="0"/>
          <w:kern w:val="0"/>
          <w:position w:val="0"/>
          <w:sz w:val="32"/>
          <w:szCs w:val="32"/>
          <w:highlight w:val="none"/>
        </w:rPr>
        <w:t>建立常态化管理机制，保障</w:t>
      </w:r>
      <w:r>
        <w:rPr>
          <w:rFonts w:hint="default" w:ascii="Times New Roman" w:hAnsi="Times New Roman" w:eastAsia="仿宋_GB2312" w:cs="Times New Roman"/>
          <w:color w:val="000000"/>
          <w:spacing w:val="0"/>
          <w:kern w:val="0"/>
          <w:position w:val="0"/>
          <w:sz w:val="32"/>
          <w:szCs w:val="32"/>
          <w:highlight w:val="none"/>
          <w:lang w:val="en-US" w:eastAsia="zh-CN"/>
        </w:rPr>
        <w:t>中心</w:t>
      </w:r>
      <w:r>
        <w:rPr>
          <w:rFonts w:hint="default" w:ascii="Times New Roman" w:hAnsi="Times New Roman" w:eastAsia="仿宋_GB2312" w:cs="Times New Roman"/>
          <w:color w:val="000000"/>
          <w:spacing w:val="0"/>
          <w:kern w:val="0"/>
          <w:position w:val="0"/>
          <w:sz w:val="32"/>
          <w:szCs w:val="32"/>
          <w:highlight w:val="none"/>
        </w:rPr>
        <w:t>持续发挥收储转运作用</w:t>
      </w:r>
      <w:r>
        <w:rPr>
          <w:rFonts w:hint="default" w:ascii="Times New Roman" w:hAnsi="Times New Roman" w:eastAsia="仿宋_GB2312" w:cs="Times New Roman"/>
          <w:color w:val="000000"/>
          <w:spacing w:val="0"/>
          <w:kern w:val="0"/>
          <w:position w:val="0"/>
          <w:sz w:val="32"/>
          <w:szCs w:val="32"/>
          <w:highlight w:val="none"/>
          <w:lang w:eastAsia="zh-CN"/>
        </w:rPr>
        <w:t>，进一步提高秸秆收储消纳能力</w:t>
      </w:r>
      <w:r>
        <w:rPr>
          <w:rFonts w:hint="default" w:ascii="Times New Roman" w:hAnsi="Times New Roman" w:eastAsia="仿宋_GB2312" w:cs="Times New Roman"/>
          <w:color w:val="000000"/>
          <w:spacing w:val="0"/>
          <w:kern w:val="0"/>
          <w:position w:val="0"/>
          <w:sz w:val="32"/>
          <w:szCs w:val="32"/>
          <w:highlight w:val="none"/>
        </w:rPr>
        <w:t>。</w:t>
      </w:r>
      <w:r>
        <w:rPr>
          <w:rFonts w:hint="default" w:ascii="Times New Roman" w:hAnsi="Times New Roman" w:eastAsia="仿宋_GB2312" w:cs="Times New Roman"/>
          <w:color w:val="000000"/>
          <w:spacing w:val="0"/>
          <w:kern w:val="0"/>
          <w:position w:val="0"/>
          <w:sz w:val="32"/>
          <w:szCs w:val="32"/>
          <w:highlight w:val="none"/>
          <w:lang w:val="en-US" w:eastAsia="zh-CN"/>
        </w:rPr>
        <w:t>同时，</w:t>
      </w:r>
      <w:r>
        <w:rPr>
          <w:rFonts w:hint="default" w:ascii="Times New Roman" w:hAnsi="Times New Roman" w:eastAsia="仿宋_GB2312" w:cs="Times New Roman"/>
          <w:color w:val="auto"/>
          <w:spacing w:val="0"/>
          <w:kern w:val="0"/>
          <w:position w:val="0"/>
          <w:sz w:val="32"/>
          <w:szCs w:val="32"/>
          <w:highlight w:val="none"/>
          <w:lang w:val="en-US" w:eastAsia="zh-CN"/>
        </w:rPr>
        <w:t>鼓励</w:t>
      </w:r>
      <w:r>
        <w:rPr>
          <w:rFonts w:hint="default" w:ascii="Times New Roman" w:hAnsi="Times New Roman" w:eastAsia="仿宋_GB2312" w:cs="Times New Roman"/>
          <w:color w:val="000000"/>
          <w:spacing w:val="0"/>
          <w:kern w:val="0"/>
          <w:position w:val="0"/>
          <w:sz w:val="32"/>
          <w:szCs w:val="32"/>
          <w:highlight w:val="none"/>
          <w:lang w:val="en-US" w:eastAsia="zh-CN"/>
        </w:rPr>
        <w:t>各县（市、区）</w:t>
      </w:r>
      <w:r>
        <w:rPr>
          <w:rFonts w:hint="default" w:ascii="Times New Roman" w:hAnsi="Times New Roman" w:eastAsia="仿宋_GB2312" w:cs="Times New Roman"/>
          <w:color w:val="000000"/>
          <w:spacing w:val="0"/>
          <w:kern w:val="0"/>
          <w:position w:val="0"/>
          <w:sz w:val="32"/>
          <w:szCs w:val="32"/>
          <w:highlight w:val="none"/>
          <w:lang w:val="en-US" w:eastAsia="zh-CN"/>
        </w:rPr>
        <w:t>禁烧区内的乡镇和村</w:t>
      </w:r>
      <w:r>
        <w:rPr>
          <w:rFonts w:hint="default" w:ascii="Times New Roman" w:hAnsi="Times New Roman" w:eastAsia="仿宋_GB2312" w:cs="Times New Roman"/>
          <w:color w:val="auto"/>
          <w:spacing w:val="0"/>
          <w:kern w:val="0"/>
          <w:position w:val="0"/>
          <w:sz w:val="32"/>
          <w:szCs w:val="32"/>
          <w:highlight w:val="none"/>
          <w:lang w:val="en-US" w:eastAsia="zh-CN"/>
        </w:rPr>
        <w:t>，</w:t>
      </w:r>
      <w:r>
        <w:rPr>
          <w:rFonts w:hint="default" w:ascii="Times New Roman" w:hAnsi="Times New Roman" w:eastAsia="仿宋_GB2312" w:cs="Times New Roman"/>
          <w:color w:val="auto"/>
          <w:spacing w:val="0"/>
          <w:kern w:val="0"/>
          <w:position w:val="0"/>
          <w:sz w:val="32"/>
          <w:szCs w:val="32"/>
          <w:highlight w:val="none"/>
          <w:lang w:val="en-US" w:eastAsia="zh-CN"/>
        </w:rPr>
        <w:t>统筹其他</w:t>
      </w:r>
      <w:r>
        <w:rPr>
          <w:rFonts w:hint="default" w:ascii="Times New Roman" w:hAnsi="Times New Roman" w:eastAsia="仿宋_GB2312" w:cs="Times New Roman"/>
          <w:color w:val="auto"/>
          <w:spacing w:val="0"/>
          <w:kern w:val="0"/>
          <w:position w:val="0"/>
          <w:sz w:val="32"/>
          <w:szCs w:val="32"/>
          <w:highlight w:val="none"/>
          <w:lang w:val="en-US" w:eastAsia="zh-CN"/>
        </w:rPr>
        <w:t>项目建设村</w:t>
      </w:r>
      <w:r>
        <w:rPr>
          <w:rFonts w:hint="default" w:ascii="Times New Roman" w:hAnsi="Times New Roman" w:eastAsia="仿宋_GB2312" w:cs="Times New Roman"/>
          <w:color w:val="000000"/>
          <w:spacing w:val="0"/>
          <w:kern w:val="0"/>
          <w:position w:val="0"/>
          <w:sz w:val="32"/>
          <w:szCs w:val="32"/>
          <w:highlight w:val="none"/>
          <w:lang w:val="en-US" w:eastAsia="zh-CN"/>
        </w:rPr>
        <w:t>级临时收储点、乡镇转运站和县域收储加工中心。</w:t>
      </w:r>
    </w:p>
    <w:p w14:paraId="6E187807">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3" w:firstLineChars="200"/>
        <w:jc w:val="both"/>
        <w:textAlignment w:val="auto"/>
        <w:rPr>
          <w:rFonts w:hint="default" w:ascii="Times New Roman" w:hAnsi="Times New Roman" w:eastAsia="楷体_GB2312" w:cs="Times New Roman"/>
          <w:color w:val="000000"/>
          <w:spacing w:val="0"/>
          <w:kern w:val="0"/>
          <w:position w:val="0"/>
          <w:sz w:val="32"/>
          <w:szCs w:val="32"/>
          <w:highlight w:val="none"/>
        </w:rPr>
      </w:pPr>
      <w:r>
        <w:rPr>
          <w:rFonts w:hint="default" w:ascii="Times New Roman" w:hAnsi="Times New Roman" w:eastAsia="楷体_GB2312" w:cs="Times New Roman"/>
          <w:color w:val="000000"/>
          <w:spacing w:val="0"/>
          <w:kern w:val="0"/>
          <w:position w:val="0"/>
          <w:sz w:val="32"/>
          <w:szCs w:val="32"/>
          <w:highlight w:val="none"/>
        </w:rPr>
        <w:t>（三）推进</w:t>
      </w:r>
      <w:r>
        <w:rPr>
          <w:rFonts w:hint="default" w:ascii="Times New Roman" w:hAnsi="Times New Roman" w:eastAsia="楷体_GB2312" w:cs="Times New Roman"/>
          <w:color w:val="000000"/>
          <w:spacing w:val="0"/>
          <w:kern w:val="0"/>
          <w:position w:val="0"/>
          <w:sz w:val="32"/>
          <w:szCs w:val="32"/>
          <w:highlight w:val="none"/>
          <w:lang w:val="en-US" w:eastAsia="zh-CN"/>
        </w:rPr>
        <w:t>示范点</w:t>
      </w:r>
      <w:r>
        <w:rPr>
          <w:rFonts w:hint="default" w:ascii="Times New Roman" w:hAnsi="Times New Roman" w:eastAsia="楷体_GB2312" w:cs="Times New Roman"/>
          <w:color w:val="000000"/>
          <w:spacing w:val="0"/>
          <w:kern w:val="0"/>
          <w:position w:val="0"/>
          <w:sz w:val="32"/>
          <w:szCs w:val="32"/>
          <w:highlight w:val="none"/>
        </w:rPr>
        <w:t>和模式县建设</w:t>
      </w:r>
    </w:p>
    <w:p w14:paraId="55C5EF4B">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支持重点县建设技术示范点</w:t>
      </w:r>
      <w:r>
        <w:rPr>
          <w:rStyle w:val="10"/>
          <w:rFonts w:hint="default" w:ascii="Times New Roman" w:hAnsi="Times New Roman" w:eastAsia="仿宋_GB2312" w:cs="Times New Roman"/>
          <w:b w:val="0"/>
          <w:bCs w:val="0"/>
          <w:color w:val="000000"/>
          <w:spacing w:val="0"/>
          <w:kern w:val="0"/>
          <w:position w:val="0"/>
          <w:sz w:val="32"/>
          <w:szCs w:val="32"/>
          <w:highlight w:val="none"/>
          <w:lang w:val="en-US" w:eastAsia="zh-CN" w:bidi="ar"/>
        </w:rPr>
        <w:t>4个以上</w:t>
      </w: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，每个点安排资金不超过</w:t>
      </w:r>
      <w:r>
        <w:rPr>
          <w:rStyle w:val="10"/>
          <w:rFonts w:hint="default" w:ascii="Times New Roman" w:hAnsi="Times New Roman" w:eastAsia="仿宋_GB2312" w:cs="Times New Roman"/>
          <w:b w:val="0"/>
          <w:bCs w:val="0"/>
          <w:color w:val="000000"/>
          <w:spacing w:val="0"/>
          <w:kern w:val="0"/>
          <w:position w:val="0"/>
          <w:sz w:val="32"/>
          <w:szCs w:val="32"/>
          <w:highlight w:val="none"/>
          <w:lang w:val="en-US" w:eastAsia="zh-CN" w:bidi="ar"/>
        </w:rPr>
        <w:t>10万元</w:t>
      </w: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，用于探索新技术新模式所需物化补助、组织宣传培训、编写技术模式等。示范展示新技术新成果，推广应用可操作、能落地的利用模式。</w:t>
      </w:r>
      <w:r>
        <w:rPr>
          <w:rFonts w:hint="default" w:ascii="Times New Roman" w:hAnsi="Times New Roman" w:eastAsia="仿宋_GB2312" w:cs="Times New Roman"/>
          <w:b w:val="0"/>
          <w:bCs w:val="0"/>
          <w:color w:val="auto"/>
          <w:spacing w:val="0"/>
          <w:kern w:val="0"/>
          <w:position w:val="0"/>
          <w:sz w:val="32"/>
          <w:szCs w:val="32"/>
          <w:highlight w:val="none"/>
          <w:lang w:val="en-US" w:eastAsia="zh-CN" w:bidi="ar"/>
        </w:rPr>
        <w:t>支持双阳</w:t>
      </w:r>
      <w:r>
        <w:rPr>
          <w:rFonts w:hint="default" w:ascii="Times New Roman" w:hAnsi="Times New Roman" w:eastAsia="仿宋_GB2312" w:cs="Times New Roman"/>
          <w:b w:val="0"/>
          <w:bCs w:val="0"/>
          <w:color w:val="auto"/>
          <w:spacing w:val="0"/>
          <w:kern w:val="0"/>
          <w:position w:val="0"/>
          <w:sz w:val="32"/>
          <w:szCs w:val="32"/>
          <w:highlight w:val="none"/>
          <w:lang w:val="en-US" w:eastAsia="zh-CN" w:bidi="ar"/>
        </w:rPr>
        <w:t>区</w:t>
      </w:r>
      <w:r>
        <w:rPr>
          <w:rFonts w:hint="default" w:ascii="Times New Roman" w:hAnsi="Times New Roman" w:eastAsia="仿宋_GB2312" w:cs="Times New Roman"/>
          <w:b w:val="0"/>
          <w:bCs w:val="0"/>
          <w:color w:val="auto"/>
          <w:spacing w:val="0"/>
          <w:kern w:val="0"/>
          <w:position w:val="0"/>
          <w:sz w:val="32"/>
          <w:szCs w:val="32"/>
          <w:highlight w:val="none"/>
          <w:lang w:val="en-US" w:eastAsia="zh-CN" w:bidi="ar"/>
        </w:rPr>
        <w:t>、桦甸</w:t>
      </w:r>
      <w:r>
        <w:rPr>
          <w:rFonts w:hint="default" w:ascii="Times New Roman" w:hAnsi="Times New Roman" w:eastAsia="仿宋_GB2312" w:cs="Times New Roman"/>
          <w:b w:val="0"/>
          <w:bCs w:val="0"/>
          <w:color w:val="auto"/>
          <w:spacing w:val="0"/>
          <w:kern w:val="0"/>
          <w:position w:val="0"/>
          <w:sz w:val="32"/>
          <w:szCs w:val="32"/>
          <w:highlight w:val="none"/>
          <w:lang w:val="en-US" w:eastAsia="zh-CN" w:bidi="ar"/>
        </w:rPr>
        <w:t>市</w:t>
      </w:r>
      <w:r>
        <w:rPr>
          <w:rFonts w:hint="default" w:ascii="Times New Roman" w:hAnsi="Times New Roman" w:eastAsia="仿宋_GB2312" w:cs="Times New Roman"/>
          <w:b w:val="0"/>
          <w:bCs w:val="0"/>
          <w:color w:val="auto"/>
          <w:spacing w:val="0"/>
          <w:kern w:val="0"/>
          <w:position w:val="0"/>
          <w:sz w:val="32"/>
          <w:szCs w:val="32"/>
          <w:highlight w:val="none"/>
          <w:lang w:val="en-US" w:eastAsia="zh-CN" w:bidi="ar"/>
        </w:rPr>
        <w:t>、东丰</w:t>
      </w:r>
      <w:r>
        <w:rPr>
          <w:rFonts w:hint="default" w:ascii="Times New Roman" w:hAnsi="Times New Roman" w:eastAsia="仿宋_GB2312" w:cs="Times New Roman"/>
          <w:b w:val="0"/>
          <w:bCs w:val="0"/>
          <w:color w:val="auto"/>
          <w:spacing w:val="0"/>
          <w:kern w:val="0"/>
          <w:position w:val="0"/>
          <w:sz w:val="32"/>
          <w:szCs w:val="32"/>
          <w:highlight w:val="none"/>
          <w:lang w:val="en-US" w:eastAsia="zh-CN" w:bidi="ar"/>
        </w:rPr>
        <w:t>县</w:t>
      </w:r>
      <w:r>
        <w:rPr>
          <w:rFonts w:hint="default" w:ascii="Times New Roman" w:hAnsi="Times New Roman" w:eastAsia="仿宋_GB2312" w:cs="Times New Roman"/>
          <w:b w:val="0"/>
          <w:bCs w:val="0"/>
          <w:color w:val="auto"/>
          <w:spacing w:val="0"/>
          <w:kern w:val="0"/>
          <w:position w:val="0"/>
          <w:sz w:val="32"/>
          <w:szCs w:val="32"/>
          <w:highlight w:val="none"/>
          <w:lang w:val="en-US" w:eastAsia="zh-CN" w:bidi="ar"/>
        </w:rPr>
        <w:t>、洮北</w:t>
      </w:r>
      <w:r>
        <w:rPr>
          <w:rFonts w:hint="default" w:ascii="Times New Roman" w:hAnsi="Times New Roman" w:eastAsia="仿宋_GB2312" w:cs="Times New Roman"/>
          <w:b w:val="0"/>
          <w:bCs w:val="0"/>
          <w:color w:val="auto"/>
          <w:spacing w:val="0"/>
          <w:kern w:val="0"/>
          <w:position w:val="0"/>
          <w:sz w:val="32"/>
          <w:szCs w:val="32"/>
          <w:highlight w:val="none"/>
          <w:lang w:val="en-US" w:eastAsia="zh-CN" w:bidi="ar"/>
        </w:rPr>
        <w:t>区</w:t>
      </w:r>
      <w:r>
        <w:rPr>
          <w:rFonts w:hint="default" w:ascii="Times New Roman" w:hAnsi="Times New Roman" w:eastAsia="仿宋_GB2312" w:cs="Times New Roman"/>
          <w:b w:val="0"/>
          <w:bCs w:val="0"/>
          <w:color w:val="auto"/>
          <w:spacing w:val="0"/>
          <w:kern w:val="0"/>
          <w:position w:val="0"/>
          <w:sz w:val="32"/>
          <w:szCs w:val="32"/>
          <w:highlight w:val="none"/>
          <w:lang w:val="en-US" w:eastAsia="zh-CN" w:bidi="ar"/>
        </w:rPr>
        <w:t>、镇赉</w:t>
      </w:r>
      <w:r>
        <w:rPr>
          <w:rFonts w:hint="default" w:ascii="Times New Roman" w:hAnsi="Times New Roman" w:eastAsia="仿宋_GB2312" w:cs="Times New Roman"/>
          <w:b w:val="0"/>
          <w:bCs w:val="0"/>
          <w:color w:val="auto"/>
          <w:spacing w:val="0"/>
          <w:kern w:val="0"/>
          <w:position w:val="0"/>
          <w:sz w:val="32"/>
          <w:szCs w:val="32"/>
          <w:highlight w:val="none"/>
          <w:lang w:val="en-US" w:eastAsia="zh-CN" w:bidi="ar"/>
        </w:rPr>
        <w:t>县</w:t>
      </w:r>
      <w:r>
        <w:rPr>
          <w:rFonts w:hint="default" w:ascii="Times New Roman" w:hAnsi="Times New Roman" w:eastAsia="仿宋_GB2312" w:cs="Times New Roman"/>
          <w:b w:val="0"/>
          <w:bCs w:val="0"/>
          <w:color w:val="auto"/>
          <w:spacing w:val="0"/>
          <w:kern w:val="0"/>
          <w:position w:val="0"/>
          <w:sz w:val="32"/>
          <w:szCs w:val="32"/>
          <w:highlight w:val="none"/>
          <w:lang w:val="en-US" w:eastAsia="zh-CN" w:bidi="ar"/>
        </w:rPr>
        <w:t>、汪清</w:t>
      </w:r>
      <w:r>
        <w:rPr>
          <w:rFonts w:hint="default" w:ascii="Times New Roman" w:hAnsi="Times New Roman" w:eastAsia="仿宋_GB2312" w:cs="Times New Roman"/>
          <w:b w:val="0"/>
          <w:bCs w:val="0"/>
          <w:color w:val="auto"/>
          <w:spacing w:val="0"/>
          <w:kern w:val="0"/>
          <w:position w:val="0"/>
          <w:sz w:val="32"/>
          <w:szCs w:val="32"/>
          <w:highlight w:val="none"/>
          <w:lang w:val="en-US" w:eastAsia="zh-CN" w:bidi="ar"/>
        </w:rPr>
        <w:t>县</w:t>
      </w:r>
      <w:r>
        <w:rPr>
          <w:rFonts w:hint="default" w:ascii="Times New Roman" w:hAnsi="Times New Roman" w:eastAsia="仿宋_GB2312" w:cs="Times New Roman"/>
          <w:b w:val="0"/>
          <w:bCs w:val="0"/>
          <w:color w:val="auto"/>
          <w:spacing w:val="0"/>
          <w:kern w:val="0"/>
          <w:position w:val="0"/>
          <w:sz w:val="32"/>
          <w:szCs w:val="32"/>
          <w:highlight w:val="none"/>
          <w:lang w:val="en-US" w:eastAsia="zh-CN" w:bidi="ar"/>
        </w:rPr>
        <w:t>6个县</w:t>
      </w:r>
      <w:r>
        <w:rPr>
          <w:rFonts w:hint="default" w:ascii="Times New Roman" w:hAnsi="Times New Roman" w:eastAsia="仿宋_GB2312" w:cs="Times New Roman"/>
          <w:b w:val="0"/>
          <w:bCs w:val="0"/>
          <w:color w:val="auto"/>
          <w:spacing w:val="0"/>
          <w:kern w:val="0"/>
          <w:position w:val="0"/>
          <w:sz w:val="32"/>
          <w:szCs w:val="32"/>
          <w:highlight w:val="none"/>
          <w:lang w:val="en-US" w:eastAsia="zh-CN" w:bidi="ar"/>
        </w:rPr>
        <w:t>（市、区）</w:t>
      </w:r>
      <w:r>
        <w:rPr>
          <w:rFonts w:hint="default" w:ascii="Times New Roman" w:hAnsi="Times New Roman" w:eastAsia="仿宋_GB2312" w:cs="Times New Roman"/>
          <w:b w:val="0"/>
          <w:bCs w:val="0"/>
          <w:color w:val="auto"/>
          <w:spacing w:val="0"/>
          <w:kern w:val="0"/>
          <w:position w:val="0"/>
          <w:sz w:val="32"/>
          <w:szCs w:val="32"/>
          <w:highlight w:val="none"/>
          <w:lang w:val="en-US" w:eastAsia="zh-CN" w:bidi="ar"/>
        </w:rPr>
        <w:t>打造秸秆饲料化县域典型模式。</w:t>
      </w:r>
    </w:p>
    <w:p w14:paraId="33060998">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3" w:firstLineChars="200"/>
        <w:jc w:val="both"/>
        <w:textAlignment w:val="auto"/>
        <w:rPr>
          <w:rFonts w:hint="default" w:ascii="Times New Roman" w:hAnsi="Times New Roman" w:eastAsia="楷体_GB2312" w:cs="Times New Roman"/>
          <w:color w:val="000000"/>
          <w:spacing w:val="0"/>
          <w:kern w:val="0"/>
          <w:position w:val="0"/>
          <w:sz w:val="32"/>
          <w:szCs w:val="32"/>
          <w:highlight w:val="none"/>
        </w:rPr>
      </w:pPr>
      <w:r>
        <w:rPr>
          <w:rFonts w:hint="default" w:ascii="Times New Roman" w:hAnsi="Times New Roman" w:eastAsia="楷体_GB2312" w:cs="Times New Roman"/>
          <w:color w:val="000000"/>
          <w:spacing w:val="0"/>
          <w:kern w:val="0"/>
          <w:position w:val="0"/>
          <w:sz w:val="32"/>
          <w:szCs w:val="32"/>
          <w:highlight w:val="none"/>
        </w:rPr>
        <w:t>（四）持续开展生态效应监测</w:t>
      </w:r>
    </w:p>
    <w:p w14:paraId="744525DF">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default" w:ascii="Times New Roman" w:hAnsi="Times New Roman" w:eastAsia="仿宋_GB2312" w:cs="Times New Roman"/>
          <w:color w:val="0000FF"/>
          <w:spacing w:val="0"/>
          <w:kern w:val="0"/>
          <w:position w:val="0"/>
          <w:sz w:val="32"/>
          <w:szCs w:val="32"/>
          <w:highlight w:val="none"/>
          <w:lang w:val="en-US" w:eastAsia="zh-CN" w:bidi="ar"/>
        </w:rPr>
      </w:pPr>
      <w:r>
        <w:rPr>
          <w:rFonts w:hint="default" w:ascii="Times New Roman" w:hAnsi="Times New Roman" w:eastAsia="仿宋_GB2312" w:cs="Times New Roman"/>
          <w:color w:val="000000"/>
          <w:spacing w:val="0"/>
          <w:kern w:val="0"/>
          <w:position w:val="0"/>
          <w:sz w:val="32"/>
          <w:szCs w:val="32"/>
          <w:highlight w:val="none"/>
          <w:lang w:val="en-US" w:eastAsia="zh-CN" w:bidi="ar"/>
        </w:rPr>
        <w:t>支持重点县开展农作物草谷比、秸秆可收集系数监测</w:t>
      </w:r>
      <w:r>
        <w:rPr>
          <w:rFonts w:hint="default" w:ascii="Times New Roman" w:hAnsi="Times New Roman" w:eastAsia="仿宋_GB2312" w:cs="Times New Roman"/>
          <w:color w:val="000000"/>
          <w:spacing w:val="0"/>
          <w:kern w:val="0"/>
          <w:position w:val="0"/>
          <w:sz w:val="32"/>
          <w:szCs w:val="32"/>
          <w:highlight w:val="none"/>
          <w:lang w:val="en-US" w:eastAsia="zh-CN" w:bidi="ar"/>
        </w:rPr>
        <w:t>、保护性耕作不同覆盖率和当地主粮作物不同还田方式下秸秆亩均还田量测算</w:t>
      </w:r>
      <w:r>
        <w:rPr>
          <w:rFonts w:hint="default" w:ascii="Times New Roman" w:hAnsi="Times New Roman" w:eastAsia="仿宋_GB2312" w:cs="Times New Roman"/>
          <w:color w:val="000000"/>
          <w:spacing w:val="0"/>
          <w:kern w:val="0"/>
          <w:position w:val="0"/>
          <w:sz w:val="32"/>
          <w:szCs w:val="32"/>
          <w:highlight w:val="none"/>
          <w:lang w:val="en-US" w:eastAsia="zh-CN" w:bidi="ar"/>
        </w:rPr>
        <w:t>和秸秆还田生态效应监测，由所在市（州）农业农村局统筹组织，原则上继续委托上一年度监测单位（团队）开展监测调查，以保证监测数据的连续性，请与监测团队做好对接。各重点县积极配合做好点位设置、入户调查等各项任务。支持1—2个重点县开展秸秆综合利用技术培训。支持秸秆资源台账建设</w:t>
      </w:r>
      <w:r>
        <w:rPr>
          <w:rFonts w:hint="default" w:ascii="Times New Roman" w:hAnsi="Times New Roman" w:eastAsia="仿宋_GB2312" w:cs="Times New Roman"/>
          <w:color w:val="000000"/>
          <w:spacing w:val="0"/>
          <w:kern w:val="0"/>
          <w:position w:val="0"/>
          <w:sz w:val="32"/>
          <w:szCs w:val="32"/>
          <w:highlight w:val="none"/>
          <w:lang w:val="en-US" w:eastAsia="zh-CN" w:bidi="ar"/>
        </w:rPr>
        <w:t>，完善数据准确性</w:t>
      </w:r>
      <w:r>
        <w:rPr>
          <w:rFonts w:hint="default" w:ascii="Times New Roman" w:hAnsi="Times New Roman" w:eastAsia="仿宋_GB2312" w:cs="Times New Roman"/>
          <w:color w:val="000000"/>
          <w:spacing w:val="0"/>
          <w:kern w:val="0"/>
          <w:position w:val="0"/>
          <w:sz w:val="32"/>
          <w:szCs w:val="32"/>
          <w:highlight w:val="none"/>
          <w:lang w:val="en-US" w:eastAsia="zh-CN" w:bidi="ar"/>
        </w:rPr>
        <w:t>。</w:t>
      </w:r>
    </w:p>
    <w:p w14:paraId="16561950">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3" w:firstLineChars="200"/>
        <w:jc w:val="both"/>
        <w:textAlignment w:val="auto"/>
        <w:rPr>
          <w:rFonts w:hint="default" w:ascii="Times New Roman" w:hAnsi="Times New Roman" w:eastAsia="楷体_GB2312" w:cs="Times New Roman"/>
          <w:color w:val="000000"/>
          <w:spacing w:val="0"/>
          <w:kern w:val="0"/>
          <w:position w:val="0"/>
          <w:sz w:val="32"/>
          <w:szCs w:val="32"/>
          <w:highlight w:val="none"/>
          <w:lang w:val="en-US" w:eastAsia="zh-CN"/>
        </w:rPr>
      </w:pPr>
      <w:r>
        <w:rPr>
          <w:rFonts w:hint="default" w:ascii="Times New Roman" w:hAnsi="Times New Roman" w:eastAsia="楷体_GB2312" w:cs="Times New Roman"/>
          <w:color w:val="000000"/>
          <w:spacing w:val="0"/>
          <w:kern w:val="0"/>
          <w:position w:val="0"/>
          <w:sz w:val="32"/>
          <w:szCs w:val="32"/>
          <w:highlight w:val="none"/>
          <w:lang w:val="en-US" w:eastAsia="zh-CN"/>
        </w:rPr>
        <w:t>（五）健全秸秆资源供需衔接机制</w:t>
      </w:r>
    </w:p>
    <w:p w14:paraId="00477025">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default" w:ascii="Times New Roman" w:hAnsi="Times New Roman" w:eastAsia="仿宋_GB2312" w:cs="Times New Roman"/>
          <w:color w:val="000000"/>
          <w:spacing w:val="0"/>
          <w:kern w:val="0"/>
          <w:position w:val="0"/>
          <w:sz w:val="32"/>
          <w:szCs w:val="32"/>
          <w:highlight w:val="none"/>
          <w:lang w:val="en-US" w:eastAsia="zh-CN" w:bidi="ar"/>
        </w:rPr>
      </w:pPr>
      <w:r>
        <w:rPr>
          <w:rFonts w:hint="default" w:ascii="Times New Roman" w:hAnsi="Times New Roman" w:eastAsia="仿宋_GB2312" w:cs="Times New Roman"/>
          <w:color w:val="000000"/>
          <w:spacing w:val="0"/>
          <w:kern w:val="0"/>
          <w:position w:val="0"/>
          <w:sz w:val="32"/>
          <w:szCs w:val="32"/>
          <w:highlight w:val="none"/>
          <w:lang w:val="en-US" w:eastAsia="zh-CN" w:bidi="ar"/>
        </w:rPr>
        <w:t>以县（市、区）为基本单位，依托农业农村部秸秆资源台账系统，常态化开展秸秆资源摸底统计，</w:t>
      </w:r>
      <w:r>
        <w:rPr>
          <w:rFonts w:hint="default" w:ascii="Times New Roman" w:hAnsi="Times New Roman" w:eastAsia="仿宋_GB2312" w:cs="Times New Roman"/>
          <w:color w:val="000000"/>
          <w:spacing w:val="0"/>
          <w:kern w:val="0"/>
          <w:position w:val="0"/>
          <w:sz w:val="32"/>
          <w:szCs w:val="32"/>
          <w:highlight w:val="none"/>
          <w:lang w:val="en-US" w:eastAsia="zh-CN" w:bidi="ar"/>
        </w:rPr>
        <w:t>农业农村部门要统筹做好同级发改、能源、畜牧等部门关于秸秆“五化”利用台账数据的收集，</w:t>
      </w:r>
      <w:r>
        <w:rPr>
          <w:rFonts w:hint="default" w:ascii="Times New Roman" w:hAnsi="Times New Roman" w:eastAsia="仿宋_GB2312" w:cs="Times New Roman"/>
          <w:color w:val="000000"/>
          <w:spacing w:val="0"/>
          <w:kern w:val="0"/>
          <w:position w:val="0"/>
          <w:sz w:val="32"/>
          <w:szCs w:val="32"/>
          <w:highlight w:val="none"/>
          <w:lang w:val="en-US" w:eastAsia="zh-CN" w:bidi="ar"/>
        </w:rPr>
        <w:t>及时上报辖区秸秆产生、资源化利用等相关数据。</w:t>
      </w:r>
      <w:r>
        <w:rPr>
          <w:rFonts w:hint="default" w:ascii="Times New Roman" w:hAnsi="Times New Roman" w:eastAsia="仿宋_GB2312" w:cs="Times New Roman"/>
          <w:color w:val="000000"/>
          <w:spacing w:val="0"/>
          <w:kern w:val="0"/>
          <w:position w:val="0"/>
          <w:sz w:val="32"/>
          <w:szCs w:val="32"/>
          <w:highlight w:val="none"/>
          <w:lang w:val="en-US" w:eastAsia="zh-CN" w:bidi="ar"/>
        </w:rPr>
        <w:t>各相关数据提供部门要</w:t>
      </w:r>
      <w:r>
        <w:rPr>
          <w:rFonts w:hint="default" w:ascii="Times New Roman" w:hAnsi="Times New Roman" w:eastAsia="仿宋_GB2312" w:cs="Times New Roman"/>
          <w:color w:val="000000"/>
          <w:spacing w:val="0"/>
          <w:kern w:val="0"/>
          <w:position w:val="0"/>
          <w:sz w:val="32"/>
          <w:szCs w:val="32"/>
          <w:highlight w:val="none"/>
          <w:lang w:val="en-US" w:eastAsia="zh-CN" w:bidi="ar"/>
        </w:rPr>
        <w:t>严格落实数据分级审核核查要求，结合实地核查、第三方抽检等举措，保障统计数据真实精准</w:t>
      </w:r>
      <w:r>
        <w:rPr>
          <w:rFonts w:hint="default" w:ascii="Times New Roman" w:hAnsi="Times New Roman" w:eastAsia="仿宋_GB2312" w:cs="Times New Roman"/>
          <w:color w:val="000000"/>
          <w:spacing w:val="0"/>
          <w:kern w:val="0"/>
          <w:position w:val="0"/>
          <w:sz w:val="32"/>
          <w:szCs w:val="32"/>
          <w:highlight w:val="none"/>
          <w:lang w:val="en-US" w:eastAsia="zh-CN" w:bidi="ar"/>
        </w:rPr>
        <w:t>和可追溯性。</w:t>
      </w:r>
      <w:r>
        <w:rPr>
          <w:rFonts w:hint="default" w:ascii="Times New Roman" w:hAnsi="Times New Roman" w:eastAsia="仿宋_GB2312" w:cs="Times New Roman"/>
          <w:color w:val="000000"/>
          <w:spacing w:val="0"/>
          <w:kern w:val="0"/>
          <w:position w:val="0"/>
          <w:sz w:val="32"/>
          <w:szCs w:val="32"/>
          <w:highlight w:val="none"/>
          <w:lang w:val="en-US" w:eastAsia="zh-CN" w:bidi="ar"/>
        </w:rPr>
        <w:t>深化数据综合分析与应用，为产业规划、经营主体培育、收储运网络建设等工作提供支撑。支持具备条件的区域动态掌握市场主体收储、加工、利用情况，搭建秸秆供需对接服务载体，推动产业链上下游、生产供销各环节高效联动。</w:t>
      </w:r>
    </w:p>
    <w:p w14:paraId="4113637A">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3" w:firstLineChars="200"/>
        <w:jc w:val="both"/>
        <w:textAlignment w:val="auto"/>
        <w:rPr>
          <w:rFonts w:hint="default" w:ascii="Times New Roman" w:hAnsi="Times New Roman" w:eastAsia="楷体_GB2312" w:cs="Times New Roman"/>
          <w:color w:val="000000"/>
          <w:spacing w:val="0"/>
          <w:kern w:val="0"/>
          <w:position w:val="0"/>
          <w:sz w:val="32"/>
          <w:szCs w:val="32"/>
          <w:highlight w:val="none"/>
          <w:lang w:val="en-US" w:eastAsia="zh-CN"/>
        </w:rPr>
      </w:pPr>
      <w:r>
        <w:rPr>
          <w:rFonts w:hint="default" w:ascii="Times New Roman" w:hAnsi="Times New Roman" w:eastAsia="楷体_GB2312" w:cs="Times New Roman"/>
          <w:color w:val="000000"/>
          <w:spacing w:val="0"/>
          <w:kern w:val="0"/>
          <w:position w:val="0"/>
          <w:sz w:val="32"/>
          <w:szCs w:val="32"/>
          <w:highlight w:val="none"/>
          <w:lang w:val="en-US" w:eastAsia="zh-CN"/>
        </w:rPr>
        <w:t>（六）推进技术成果落地转化</w:t>
      </w:r>
    </w:p>
    <w:p w14:paraId="5F4FBCAE">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default" w:ascii="Times New Roman" w:hAnsi="Times New Roman" w:eastAsia="仿宋_GB2312" w:cs="Times New Roman"/>
          <w:color w:val="000000"/>
          <w:spacing w:val="0"/>
          <w:kern w:val="0"/>
          <w:position w:val="0"/>
          <w:sz w:val="32"/>
          <w:szCs w:val="32"/>
          <w:highlight w:val="none"/>
          <w:lang w:val="en-US" w:eastAsia="zh-CN" w:bidi="ar"/>
        </w:rPr>
      </w:pPr>
      <w:r>
        <w:rPr>
          <w:rFonts w:hint="default" w:ascii="Times New Roman" w:hAnsi="Times New Roman" w:eastAsia="仿宋_GB2312" w:cs="Times New Roman"/>
          <w:color w:val="000000"/>
          <w:spacing w:val="0"/>
          <w:kern w:val="0"/>
          <w:position w:val="0"/>
          <w:sz w:val="32"/>
          <w:szCs w:val="32"/>
          <w:highlight w:val="none"/>
          <w:lang w:val="en-US" w:eastAsia="zh-CN" w:bidi="ar"/>
        </w:rPr>
        <w:t>立足肥料、饲料等农用利用途径，在重点县域择优推广一批技术先进、效益突出、实用性强的成熟技术模式，持续提升技术落地实效与覆盖范围。针对高效清洁秸秆收集打包、秸秆低温快速腐熟、饲料高效加工转化、组分分离、生物利用等产业链关键环节，筛选优质新技术、新装备、新产品并组织试点示范，推动各类技术成果尽快落地应用。</w:t>
      </w:r>
    </w:p>
    <w:p w14:paraId="7CE817B9">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3" w:firstLineChars="200"/>
        <w:jc w:val="both"/>
        <w:textAlignment w:val="auto"/>
        <w:rPr>
          <w:rFonts w:hint="default" w:ascii="Times New Roman" w:hAnsi="Times New Roman" w:eastAsia="楷体_GB2312" w:cs="Times New Roman"/>
          <w:color w:val="000000"/>
          <w:spacing w:val="0"/>
          <w:kern w:val="0"/>
          <w:position w:val="0"/>
          <w:sz w:val="32"/>
          <w:szCs w:val="32"/>
          <w:highlight w:val="none"/>
          <w:lang w:val="en-US" w:eastAsia="zh-CN"/>
        </w:rPr>
      </w:pPr>
      <w:r>
        <w:rPr>
          <w:rFonts w:hint="default" w:ascii="Times New Roman" w:hAnsi="Times New Roman" w:eastAsia="楷体_GB2312" w:cs="Times New Roman"/>
          <w:color w:val="000000"/>
          <w:spacing w:val="0"/>
          <w:kern w:val="0"/>
          <w:position w:val="0"/>
          <w:sz w:val="32"/>
          <w:szCs w:val="32"/>
          <w:highlight w:val="none"/>
          <w:lang w:val="en-US" w:eastAsia="zh-CN"/>
        </w:rPr>
        <w:t>（</w:t>
      </w:r>
      <w:r>
        <w:rPr>
          <w:rFonts w:hint="default" w:ascii="Times New Roman" w:hAnsi="Times New Roman" w:eastAsia="楷体_GB2312" w:cs="Times New Roman"/>
          <w:color w:val="000000"/>
          <w:spacing w:val="0"/>
          <w:kern w:val="0"/>
          <w:position w:val="0"/>
          <w:sz w:val="32"/>
          <w:szCs w:val="32"/>
          <w:highlight w:val="none"/>
          <w:lang w:val="en-US" w:eastAsia="zh-CN"/>
        </w:rPr>
        <w:t>七</w:t>
      </w:r>
      <w:r>
        <w:rPr>
          <w:rFonts w:hint="default" w:ascii="Times New Roman" w:hAnsi="Times New Roman" w:eastAsia="楷体_GB2312" w:cs="Times New Roman"/>
          <w:color w:val="000000"/>
          <w:spacing w:val="0"/>
          <w:kern w:val="0"/>
          <w:position w:val="0"/>
          <w:sz w:val="32"/>
          <w:szCs w:val="32"/>
          <w:highlight w:val="none"/>
          <w:lang w:val="en-US" w:eastAsia="zh-CN"/>
        </w:rPr>
        <w:t>）落实离田任务</w:t>
      </w:r>
    </w:p>
    <w:p w14:paraId="5F628796">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各县（市、区）</w:t>
      </w: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要</w:t>
      </w: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在12月底前，组织禁烧区内除保护性耕作、条耕、深翻、碎混、翻埋等还田地块外秸秆全部离田（留地根茬不高于15厘米）。对确实无法采用机械离田的坡岗地等，采取人工方式离田。</w:t>
      </w:r>
    </w:p>
    <w:p w14:paraId="33601ADC">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default" w:ascii="Times New Roman" w:hAnsi="Times New Roman" w:eastAsia="黑体" w:cs="Times New Roman"/>
          <w:b w:val="0"/>
          <w:bCs w:val="0"/>
          <w:color w:val="000000"/>
          <w:spacing w:val="0"/>
          <w:kern w:val="0"/>
          <w:position w:val="0"/>
          <w:sz w:val="32"/>
          <w:szCs w:val="32"/>
          <w:highlight w:val="none"/>
          <w:lang w:eastAsia="zh-CN"/>
        </w:rPr>
      </w:pPr>
      <w:r>
        <w:rPr>
          <w:rFonts w:hint="default" w:ascii="Times New Roman" w:hAnsi="Times New Roman" w:eastAsia="黑体" w:cs="Times New Roman"/>
          <w:b w:val="0"/>
          <w:bCs w:val="0"/>
          <w:color w:val="000000"/>
          <w:spacing w:val="0"/>
          <w:kern w:val="0"/>
          <w:position w:val="0"/>
          <w:sz w:val="32"/>
          <w:szCs w:val="32"/>
          <w:highlight w:val="none"/>
        </w:rPr>
        <w:t>四、</w:t>
      </w:r>
      <w:r>
        <w:rPr>
          <w:rFonts w:hint="default" w:ascii="Times New Roman" w:hAnsi="Times New Roman" w:eastAsia="黑体" w:cs="Times New Roman"/>
          <w:b w:val="0"/>
          <w:bCs w:val="0"/>
          <w:color w:val="000000"/>
          <w:spacing w:val="0"/>
          <w:kern w:val="0"/>
          <w:position w:val="0"/>
          <w:sz w:val="32"/>
          <w:szCs w:val="32"/>
          <w:highlight w:val="none"/>
          <w:lang w:val="en-US" w:eastAsia="zh-CN"/>
        </w:rPr>
        <w:t>有关要求</w:t>
      </w:r>
    </w:p>
    <w:p w14:paraId="3CC348CF">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3" w:firstLineChars="200"/>
        <w:jc w:val="both"/>
        <w:textAlignment w:val="auto"/>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pPr>
      <w:r>
        <w:rPr>
          <w:rFonts w:hint="default" w:ascii="Times New Roman" w:hAnsi="Times New Roman" w:eastAsia="楷体_GB2312" w:cs="Times New Roman"/>
          <w:color w:val="000000"/>
          <w:spacing w:val="0"/>
          <w:kern w:val="0"/>
          <w:position w:val="0"/>
          <w:sz w:val="32"/>
          <w:szCs w:val="32"/>
          <w:highlight w:val="none"/>
        </w:rPr>
        <w:t>（一）压实工作责任</w:t>
      </w:r>
      <w:r>
        <w:rPr>
          <w:rFonts w:hint="default" w:ascii="Times New Roman" w:hAnsi="Times New Roman" w:eastAsia="楷体_GB2312" w:cs="Times New Roman"/>
          <w:color w:val="000000"/>
          <w:spacing w:val="0"/>
          <w:kern w:val="0"/>
          <w:position w:val="0"/>
          <w:sz w:val="32"/>
          <w:szCs w:val="32"/>
          <w:highlight w:val="none"/>
          <w:lang w:eastAsia="zh-CN"/>
        </w:rPr>
        <w:t>。</w:t>
      </w:r>
      <w:r>
        <w:rPr>
          <w:rFonts w:hint="default" w:ascii="Times New Roman" w:hAnsi="Times New Roman" w:eastAsia="仿宋_GB2312" w:cs="Times New Roman"/>
          <w:b w:val="0"/>
          <w:bCs w:val="0"/>
          <w:color w:val="000000"/>
          <w:spacing w:val="0"/>
          <w:kern w:val="0"/>
          <w:position w:val="0"/>
          <w:sz w:val="32"/>
          <w:szCs w:val="32"/>
          <w:highlight w:val="none"/>
          <w:lang w:val="en-US" w:eastAsia="zh-CN"/>
        </w:rPr>
        <w:t>有关</w:t>
      </w: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县（市、区）农业农村部门负责项目申报、审核、验收、资金兑付及档案管理，市（州）农业农村部门负责审核备案、督促推进，省农业农村厅负责统筹指导、调度监管、绩效评价与抽查核验。</w:t>
      </w:r>
    </w:p>
    <w:p w14:paraId="56464D9A">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3" w:firstLineChars="200"/>
        <w:jc w:val="both"/>
        <w:textAlignment w:val="auto"/>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pPr>
      <w:r>
        <w:rPr>
          <w:rFonts w:hint="default" w:ascii="Times New Roman" w:hAnsi="Times New Roman" w:eastAsia="楷体_GB2312" w:cs="Times New Roman"/>
          <w:color w:val="000000"/>
          <w:spacing w:val="0"/>
          <w:kern w:val="0"/>
          <w:position w:val="0"/>
          <w:sz w:val="32"/>
          <w:szCs w:val="32"/>
          <w:highlight w:val="none"/>
        </w:rPr>
        <w:t>（二）制定实施方案</w:t>
      </w:r>
      <w:r>
        <w:rPr>
          <w:rFonts w:hint="default" w:ascii="Times New Roman" w:hAnsi="Times New Roman" w:eastAsia="楷体_GB2312" w:cs="Times New Roman"/>
          <w:color w:val="000000"/>
          <w:spacing w:val="0"/>
          <w:kern w:val="0"/>
          <w:position w:val="0"/>
          <w:sz w:val="32"/>
          <w:szCs w:val="32"/>
          <w:highlight w:val="none"/>
          <w:lang w:eastAsia="zh-CN"/>
        </w:rPr>
        <w:t>。</w:t>
      </w: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相关县（市、区）农业农村部门负责编制本级实施方案，细化工作任务，明确具体目标任务、实施内容、补助对象、补助标准、资金安排、监管措施等</w:t>
      </w: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内容</w:t>
      </w: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w:t>
      </w:r>
      <w:r>
        <w:rPr>
          <w:rFonts w:hint="default" w:ascii="Times New Roman" w:hAnsi="Times New Roman" w:eastAsia="仿宋_GB2312" w:cs="Times New Roman"/>
          <w:b w:val="0"/>
          <w:bCs w:val="0"/>
          <w:color w:val="auto"/>
          <w:spacing w:val="0"/>
          <w:kern w:val="0"/>
          <w:position w:val="0"/>
          <w:sz w:val="32"/>
          <w:szCs w:val="32"/>
          <w:highlight w:val="none"/>
          <w:lang w:val="en-US" w:eastAsia="zh-CN" w:bidi="ar"/>
        </w:rPr>
        <w:t>同时方案中要明确实施内容需符合国家生态环境保护、安全生产等工作要求，</w:t>
      </w:r>
      <w:r>
        <w:rPr>
          <w:rFonts w:hint="default" w:ascii="Times New Roman" w:hAnsi="Times New Roman" w:eastAsia="仿宋_GB2312" w:cs="Times New Roman"/>
          <w:b w:val="0"/>
          <w:bCs w:val="0"/>
          <w:color w:val="auto"/>
          <w:spacing w:val="0"/>
          <w:kern w:val="0"/>
          <w:position w:val="0"/>
          <w:sz w:val="32"/>
          <w:szCs w:val="32"/>
          <w:highlight w:val="none"/>
          <w:lang w:val="en-US" w:eastAsia="zh-CN" w:bidi="ar"/>
        </w:rPr>
        <w:t>报同级政府</w:t>
      </w: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审定后执行，并报省农业农村厅备案。</w:t>
      </w:r>
    </w:p>
    <w:p w14:paraId="060D6136">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3" w:firstLineChars="200"/>
        <w:jc w:val="both"/>
        <w:textAlignment w:val="auto"/>
        <w:rPr>
          <w:rFonts w:hint="default" w:ascii="Times New Roman" w:hAnsi="Times New Roman" w:eastAsia="仿宋_GB2312" w:cs="Times New Roman"/>
          <w:color w:val="0000FF"/>
          <w:spacing w:val="0"/>
          <w:kern w:val="0"/>
          <w:position w:val="0"/>
          <w:sz w:val="32"/>
          <w:szCs w:val="32"/>
          <w:highlight w:val="none"/>
          <w:lang w:val="en-US" w:eastAsia="zh-CN" w:bidi="ar"/>
        </w:rPr>
      </w:pPr>
      <w:r>
        <w:rPr>
          <w:rFonts w:hint="default" w:ascii="Times New Roman" w:hAnsi="Times New Roman" w:eastAsia="楷体_GB2312" w:cs="Times New Roman"/>
          <w:color w:val="000000"/>
          <w:spacing w:val="0"/>
          <w:kern w:val="0"/>
          <w:position w:val="0"/>
          <w:sz w:val="32"/>
          <w:szCs w:val="32"/>
          <w:highlight w:val="none"/>
        </w:rPr>
        <w:t>（三）强化</w:t>
      </w:r>
      <w:r>
        <w:rPr>
          <w:rFonts w:hint="default" w:ascii="Times New Roman" w:hAnsi="Times New Roman" w:eastAsia="楷体_GB2312" w:cs="Times New Roman"/>
          <w:color w:val="000000"/>
          <w:spacing w:val="0"/>
          <w:kern w:val="0"/>
          <w:position w:val="0"/>
          <w:sz w:val="32"/>
          <w:szCs w:val="32"/>
          <w:highlight w:val="none"/>
          <w:lang w:val="en-US" w:eastAsia="zh-CN"/>
        </w:rPr>
        <w:t>资金</w:t>
      </w:r>
      <w:r>
        <w:rPr>
          <w:rFonts w:hint="default" w:ascii="Times New Roman" w:hAnsi="Times New Roman" w:eastAsia="楷体_GB2312" w:cs="Times New Roman"/>
          <w:color w:val="000000"/>
          <w:spacing w:val="0"/>
          <w:kern w:val="0"/>
          <w:position w:val="0"/>
          <w:sz w:val="32"/>
          <w:szCs w:val="32"/>
          <w:highlight w:val="none"/>
        </w:rPr>
        <w:t>管理</w:t>
      </w:r>
      <w:r>
        <w:rPr>
          <w:rFonts w:hint="default" w:ascii="Times New Roman" w:hAnsi="Times New Roman" w:eastAsia="楷体_GB2312" w:cs="Times New Roman"/>
          <w:color w:val="000000"/>
          <w:spacing w:val="0"/>
          <w:kern w:val="0"/>
          <w:position w:val="0"/>
          <w:sz w:val="32"/>
          <w:szCs w:val="32"/>
          <w:highlight w:val="none"/>
          <w:lang w:eastAsia="zh-CN"/>
        </w:rPr>
        <w:t>。</w:t>
      </w: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省农业农村厅通过转移支付管理平台开展动态监控，定期调度项目实施与资金支出情况，推动项目落地见效，</w:t>
      </w: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综合考量</w:t>
      </w: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绩效评价结果</w:t>
      </w: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、项目建设情况、资金支付进度</w:t>
      </w: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作为下年度资金分配重要依据。要规范补贴发放，不</w:t>
      </w:r>
      <w:r>
        <w:rPr>
          <w:rFonts w:hint="default" w:ascii="Times New Roman" w:hAnsi="Times New Roman" w:eastAsia="仿宋_GB2312" w:cs="Times New Roman"/>
          <w:b w:val="0"/>
          <w:bCs w:val="0"/>
          <w:color w:val="auto"/>
          <w:spacing w:val="0"/>
          <w:kern w:val="0"/>
          <w:position w:val="0"/>
          <w:sz w:val="32"/>
          <w:szCs w:val="32"/>
          <w:highlight w:val="none"/>
          <w:lang w:val="en-US" w:eastAsia="zh-CN" w:bidi="ar"/>
        </w:rPr>
        <w:t>得与</w:t>
      </w:r>
      <w:r>
        <w:rPr>
          <w:rFonts w:hint="default" w:ascii="Times New Roman" w:hAnsi="Times New Roman" w:eastAsia="仿宋_GB2312" w:cs="Times New Roman"/>
          <w:b w:val="0"/>
          <w:bCs w:val="0"/>
          <w:color w:val="auto"/>
          <w:spacing w:val="0"/>
          <w:kern w:val="0"/>
          <w:position w:val="0"/>
          <w:sz w:val="32"/>
          <w:szCs w:val="32"/>
          <w:highlight w:val="none"/>
          <w:lang w:val="en-US" w:eastAsia="zh-CN" w:bidi="ar"/>
        </w:rPr>
        <w:t>其他</w:t>
      </w:r>
      <w:r>
        <w:rPr>
          <w:rFonts w:hint="default" w:ascii="Times New Roman" w:hAnsi="Times New Roman" w:eastAsia="仿宋_GB2312" w:cs="Times New Roman"/>
          <w:b w:val="0"/>
          <w:bCs w:val="0"/>
          <w:color w:val="auto"/>
          <w:spacing w:val="0"/>
          <w:kern w:val="0"/>
          <w:position w:val="0"/>
          <w:sz w:val="32"/>
          <w:szCs w:val="32"/>
          <w:highlight w:val="none"/>
          <w:lang w:val="en-US" w:eastAsia="zh-CN" w:bidi="ar"/>
        </w:rPr>
        <w:t>项目</w:t>
      </w:r>
      <w:r>
        <w:rPr>
          <w:rFonts w:hint="default" w:ascii="Times New Roman" w:hAnsi="Times New Roman" w:eastAsia="仿宋_GB2312" w:cs="Times New Roman"/>
          <w:b w:val="0"/>
          <w:bCs w:val="0"/>
          <w:color w:val="auto"/>
          <w:spacing w:val="0"/>
          <w:kern w:val="0"/>
          <w:position w:val="0"/>
          <w:sz w:val="32"/>
          <w:szCs w:val="32"/>
          <w:highlight w:val="none"/>
          <w:lang w:val="en-US" w:eastAsia="zh-CN" w:bidi="ar"/>
        </w:rPr>
        <w:t>重复</w:t>
      </w:r>
      <w:r>
        <w:rPr>
          <w:rFonts w:hint="default" w:ascii="Times New Roman" w:hAnsi="Times New Roman" w:eastAsia="仿宋_GB2312" w:cs="Times New Roman"/>
          <w:b w:val="0"/>
          <w:bCs w:val="0"/>
          <w:color w:val="auto"/>
          <w:spacing w:val="0"/>
          <w:kern w:val="0"/>
          <w:position w:val="0"/>
          <w:sz w:val="32"/>
          <w:szCs w:val="32"/>
          <w:highlight w:val="none"/>
          <w:lang w:val="en-US" w:eastAsia="zh-CN" w:bidi="ar"/>
        </w:rPr>
        <w:t>补贴，不得对同一年度同一地块实施秸秆还田、离田利用项目、收储运</w:t>
      </w:r>
      <w:r>
        <w:rPr>
          <w:rFonts w:hint="default" w:ascii="Times New Roman" w:hAnsi="Times New Roman" w:eastAsia="仿宋_GB2312" w:cs="Times New Roman"/>
          <w:b w:val="0"/>
          <w:bCs w:val="0"/>
          <w:color w:val="auto"/>
          <w:spacing w:val="0"/>
          <w:kern w:val="0"/>
          <w:position w:val="0"/>
          <w:sz w:val="32"/>
          <w:szCs w:val="32"/>
          <w:highlight w:val="none"/>
          <w:lang w:val="en-US" w:eastAsia="zh-CN" w:bidi="ar"/>
        </w:rPr>
        <w:t>等</w:t>
      </w:r>
      <w:r>
        <w:rPr>
          <w:rFonts w:hint="default" w:ascii="Times New Roman" w:hAnsi="Times New Roman" w:eastAsia="仿宋_GB2312" w:cs="Times New Roman"/>
          <w:b w:val="0"/>
          <w:bCs w:val="0"/>
          <w:color w:val="auto"/>
          <w:spacing w:val="0"/>
          <w:kern w:val="0"/>
          <w:position w:val="0"/>
          <w:sz w:val="32"/>
          <w:szCs w:val="32"/>
          <w:highlight w:val="none"/>
          <w:lang w:val="en-US" w:eastAsia="zh-CN" w:bidi="ar"/>
        </w:rPr>
        <w:t>环节重复补贴。</w:t>
      </w:r>
    </w:p>
    <w:p w14:paraId="7808164E">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3" w:firstLineChars="200"/>
        <w:jc w:val="both"/>
        <w:textAlignment w:val="auto"/>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pPr>
      <w:r>
        <w:rPr>
          <w:rFonts w:hint="default" w:ascii="Times New Roman" w:hAnsi="Times New Roman" w:eastAsia="楷体_GB2312" w:cs="Times New Roman"/>
          <w:color w:val="000000"/>
          <w:spacing w:val="0"/>
          <w:kern w:val="0"/>
          <w:position w:val="0"/>
          <w:sz w:val="32"/>
          <w:szCs w:val="32"/>
          <w:highlight w:val="none"/>
        </w:rPr>
        <w:t>（四）加强指导培训</w:t>
      </w:r>
      <w:r>
        <w:rPr>
          <w:rFonts w:hint="default" w:ascii="Times New Roman" w:hAnsi="Times New Roman" w:eastAsia="楷体_GB2312" w:cs="Times New Roman"/>
          <w:color w:val="000000"/>
          <w:spacing w:val="0"/>
          <w:kern w:val="0"/>
          <w:position w:val="0"/>
          <w:sz w:val="32"/>
          <w:szCs w:val="32"/>
          <w:highlight w:val="none"/>
          <w:lang w:eastAsia="zh-CN"/>
        </w:rPr>
        <w:t>。</w:t>
      </w: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依托省级生态环能现代农业产业技术体系组建技术指导组，全程服务重点县，解决秸秆综合利用中的技术难题。指导各地组织基层农技人员，深入田间地头做好技术推广和指导服务，开展多形式培训与示范推广，增强社会公众参与积极性和主动性</w:t>
      </w: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，全面提升秸秆综合利用能力。</w:t>
      </w:r>
    </w:p>
    <w:p w14:paraId="73E706BE">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3" w:firstLineChars="200"/>
        <w:jc w:val="both"/>
        <w:textAlignment w:val="auto"/>
        <w:rPr>
          <w:rStyle w:val="10"/>
          <w:rFonts w:hint="default" w:ascii="Times New Roman" w:hAnsi="Times New Roman" w:eastAsia="仿宋_GB2312" w:cs="Times New Roman"/>
          <w:b/>
          <w:bCs/>
          <w:color w:val="000000"/>
          <w:spacing w:val="0"/>
          <w:kern w:val="0"/>
          <w:position w:val="0"/>
          <w:sz w:val="32"/>
          <w:szCs w:val="32"/>
          <w:highlight w:val="none"/>
          <w:lang w:val="en-US" w:eastAsia="zh-CN" w:bidi="ar"/>
        </w:rPr>
      </w:pPr>
    </w:p>
    <w:p w14:paraId="7352B0AA">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附件：1.2026年秸秆重点县名单及约束性任务</w:t>
      </w:r>
    </w:p>
    <w:p w14:paraId="4DD0DF9C">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Style w:val="10"/>
          <w:rFonts w:hint="default" w:ascii="Times New Roman" w:hAnsi="Times New Roman" w:eastAsia="仿宋_GB2312" w:cs="Times New Roman"/>
          <w:b/>
          <w:bCs/>
          <w:color w:val="000000"/>
          <w:spacing w:val="0"/>
          <w:kern w:val="0"/>
          <w:position w:val="0"/>
          <w:sz w:val="32"/>
          <w:szCs w:val="32"/>
          <w:highlight w:val="no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 xml:space="preserve">      2.2026年还田监测对接团队信息</w:t>
      </w:r>
    </w:p>
    <w:p w14:paraId="28369471">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pPr>
    </w:p>
    <w:p w14:paraId="0685DF8B">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联系人：</w:t>
      </w: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 xml:space="preserve">邹  运   </w:t>
      </w: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1</w:t>
      </w: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7767704252</w:t>
      </w:r>
    </w:p>
    <w:p w14:paraId="51C7A90A">
      <w:pPr>
        <w:pStyle w:val="4"/>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1920" w:firstLineChars="600"/>
        <w:jc w:val="both"/>
        <w:textAlignment w:val="auto"/>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sectPr>
          <w:footerReference r:id="rId3" w:type="default"/>
          <w:pgSz w:w="11906" w:h="16838"/>
          <w:pgMar w:top="1701" w:right="1417" w:bottom="1701" w:left="1417" w:header="851" w:footer="992" w:gutter="0"/>
          <w:pgNumType w:fmt="decimal"/>
          <w:cols w:space="425" w:num="1"/>
          <w:docGrid w:type="lines" w:linePitch="312" w:charSpace="0"/>
        </w:sectPr>
      </w:pP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朱文博   18704488282</w:t>
      </w:r>
    </w:p>
    <w:p w14:paraId="4DF3B22D">
      <w:pPr>
        <w:jc w:val="both"/>
        <w:rPr>
          <w:rFonts w:hint="default" w:ascii="Times New Roman" w:hAnsi="Times New Roman" w:eastAsia="黑体" w:cs="Times New Roman"/>
          <w:b w:val="0"/>
          <w:bCs w:val="0"/>
          <w:color w:val="000000"/>
          <w:spacing w:val="0"/>
          <w:kern w:val="0"/>
          <w:position w:val="0"/>
          <w:sz w:val="32"/>
          <w:szCs w:val="32"/>
          <w:highlight w:val="none"/>
          <w:lang w:val="en-US" w:eastAsia="zh-CN" w:bidi="ar"/>
        </w:rPr>
      </w:pPr>
      <w:r>
        <w:rPr>
          <w:rFonts w:hint="default" w:ascii="Times New Roman" w:hAnsi="Times New Roman" w:eastAsia="黑体" w:cs="Times New Roman"/>
          <w:b w:val="0"/>
          <w:bCs w:val="0"/>
          <w:color w:val="000000"/>
          <w:spacing w:val="0"/>
          <w:kern w:val="0"/>
          <w:position w:val="0"/>
          <w:sz w:val="32"/>
          <w:szCs w:val="32"/>
          <w:highlight w:val="none"/>
          <w:lang w:val="en-US" w:eastAsia="zh-CN" w:bidi="ar"/>
        </w:rPr>
        <w:t>附件1</w:t>
      </w:r>
    </w:p>
    <w:p w14:paraId="344DA10A">
      <w:pPr>
        <w:jc w:val="center"/>
        <w:rPr>
          <w:rFonts w:hint="default" w:ascii="Times New Roman" w:hAnsi="Times New Roman" w:eastAsia="方正小标宋简体" w:cs="Times New Roman"/>
          <w:b w:val="0"/>
          <w:bCs w:val="0"/>
          <w:color w:val="000000"/>
          <w:spacing w:val="0"/>
          <w:kern w:val="0"/>
          <w:position w:val="0"/>
          <w:sz w:val="44"/>
          <w:szCs w:val="44"/>
          <w:highlight w:val="none"/>
          <w:lang w:val="en-US" w:eastAsia="zh-CN" w:bidi="ar"/>
        </w:rPr>
      </w:pPr>
      <w:r>
        <w:rPr>
          <w:rFonts w:hint="default" w:ascii="Times New Roman" w:hAnsi="Times New Roman" w:eastAsia="方正小标宋简体" w:cs="Times New Roman"/>
          <w:b w:val="0"/>
          <w:bCs w:val="0"/>
          <w:color w:val="000000"/>
          <w:spacing w:val="0"/>
          <w:kern w:val="0"/>
          <w:position w:val="0"/>
          <w:sz w:val="44"/>
          <w:szCs w:val="44"/>
          <w:highlight w:val="none"/>
          <w:lang w:val="en-US" w:eastAsia="zh-CN" w:bidi="ar"/>
        </w:rPr>
        <w:t>2026年秸秆重点县名单及约束性任务</w:t>
      </w:r>
    </w:p>
    <w:tbl>
      <w:tblPr>
        <w:tblStyle w:val="8"/>
        <w:tblW w:w="92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4"/>
        <w:gridCol w:w="2190"/>
        <w:gridCol w:w="5835"/>
      </w:tblGrid>
      <w:tr w14:paraId="7E5AD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tcPr>
          <w:p w14:paraId="43C2E2D3">
            <w:pPr>
              <w:jc w:val="center"/>
              <w:rPr>
                <w:rFonts w:hint="default" w:ascii="Times New Roman" w:hAnsi="Times New Roman" w:eastAsia="仿宋_GB2312" w:cs="Times New Roman"/>
                <w:b/>
                <w:bCs/>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bCs/>
                <w:color w:val="000000"/>
                <w:spacing w:val="0"/>
                <w:kern w:val="0"/>
                <w:position w:val="0"/>
                <w:sz w:val="32"/>
                <w:szCs w:val="32"/>
                <w:highlight w:val="none"/>
                <w:vertAlign w:val="baseline"/>
                <w:lang w:val="en-US" w:eastAsia="zh-CN" w:bidi="ar"/>
              </w:rPr>
              <w:t>序号</w:t>
            </w:r>
          </w:p>
        </w:tc>
        <w:tc>
          <w:tcPr>
            <w:tcW w:w="2190" w:type="dxa"/>
          </w:tcPr>
          <w:p w14:paraId="61E1BC28">
            <w:pPr>
              <w:jc w:val="center"/>
              <w:rPr>
                <w:rFonts w:hint="default" w:ascii="Times New Roman" w:hAnsi="Times New Roman" w:eastAsia="仿宋_GB2312" w:cs="Times New Roman"/>
                <w:b/>
                <w:bCs/>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bCs/>
                <w:color w:val="000000"/>
                <w:spacing w:val="0"/>
                <w:kern w:val="0"/>
                <w:position w:val="0"/>
                <w:sz w:val="32"/>
                <w:szCs w:val="32"/>
                <w:highlight w:val="none"/>
                <w:vertAlign w:val="baseline"/>
                <w:lang w:val="en-US" w:eastAsia="zh-CN" w:bidi="ar"/>
              </w:rPr>
              <w:t>县（市、区）</w:t>
            </w:r>
          </w:p>
        </w:tc>
        <w:tc>
          <w:tcPr>
            <w:tcW w:w="5835" w:type="dxa"/>
          </w:tcPr>
          <w:p w14:paraId="741231B2">
            <w:pPr>
              <w:jc w:val="center"/>
              <w:rPr>
                <w:rFonts w:hint="default" w:ascii="Times New Roman" w:hAnsi="Times New Roman" w:eastAsia="仿宋_GB2312" w:cs="Times New Roman"/>
                <w:b/>
                <w:bCs/>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bCs/>
                <w:color w:val="000000"/>
                <w:spacing w:val="0"/>
                <w:kern w:val="0"/>
                <w:position w:val="0"/>
                <w:sz w:val="32"/>
                <w:szCs w:val="32"/>
                <w:highlight w:val="none"/>
                <w:vertAlign w:val="baseline"/>
                <w:lang w:val="en-US" w:eastAsia="zh-CN" w:bidi="ar"/>
              </w:rPr>
              <w:t>约束性任务</w:t>
            </w:r>
          </w:p>
        </w:tc>
      </w:tr>
      <w:tr w14:paraId="295B8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1254" w:type="dxa"/>
            <w:vAlign w:val="center"/>
          </w:tcPr>
          <w:p w14:paraId="0CFE129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1</w:t>
            </w:r>
          </w:p>
        </w:tc>
        <w:tc>
          <w:tcPr>
            <w:tcW w:w="2190" w:type="dxa"/>
            <w:vAlign w:val="center"/>
          </w:tcPr>
          <w:p w14:paraId="061C12B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Style w:val="11"/>
                <w:rFonts w:hint="default" w:ascii="Times New Roman" w:hAnsi="Times New Roman" w:eastAsia="仿宋_GB2312" w:cs="Times New Roman"/>
                <w:spacing w:val="0"/>
                <w:kern w:val="0"/>
                <w:position w:val="0"/>
                <w:sz w:val="32"/>
                <w:szCs w:val="32"/>
                <w:highlight w:val="none"/>
                <w:lang w:val="en-US" w:eastAsia="zh-CN" w:bidi="ar"/>
              </w:rPr>
              <w:t>双</w:t>
            </w:r>
            <w:r>
              <w:rPr>
                <w:rStyle w:val="12"/>
                <w:rFonts w:hint="default" w:ascii="Times New Roman" w:hAnsi="Times New Roman" w:eastAsia="仿宋_GB2312" w:cs="Times New Roman"/>
                <w:spacing w:val="0"/>
                <w:kern w:val="0"/>
                <w:position w:val="0"/>
                <w:sz w:val="32"/>
                <w:szCs w:val="32"/>
                <w:highlight w:val="none"/>
                <w:lang w:val="en-US" w:eastAsia="zh-CN" w:bidi="ar"/>
              </w:rPr>
              <w:t xml:space="preserve"> </w:t>
            </w:r>
            <w:r>
              <w:rPr>
                <w:rStyle w:val="11"/>
                <w:rFonts w:hint="default" w:ascii="Times New Roman" w:hAnsi="Times New Roman" w:eastAsia="仿宋_GB2312" w:cs="Times New Roman"/>
                <w:spacing w:val="0"/>
                <w:kern w:val="0"/>
                <w:position w:val="0"/>
                <w:sz w:val="32"/>
                <w:szCs w:val="32"/>
                <w:highlight w:val="none"/>
                <w:lang w:val="en-US" w:eastAsia="zh-CN" w:bidi="ar"/>
              </w:rPr>
              <w:t>阳</w:t>
            </w:r>
            <w:r>
              <w:rPr>
                <w:rStyle w:val="12"/>
                <w:rFonts w:hint="default" w:ascii="Times New Roman" w:hAnsi="Times New Roman" w:eastAsia="仿宋_GB2312" w:cs="Times New Roman"/>
                <w:spacing w:val="0"/>
                <w:kern w:val="0"/>
                <w:position w:val="0"/>
                <w:sz w:val="32"/>
                <w:szCs w:val="32"/>
                <w:highlight w:val="none"/>
                <w:lang w:val="en-US" w:eastAsia="zh-CN" w:bidi="ar"/>
              </w:rPr>
              <w:t xml:space="preserve"> </w:t>
            </w:r>
            <w:r>
              <w:rPr>
                <w:rStyle w:val="11"/>
                <w:rFonts w:hint="default" w:ascii="Times New Roman" w:hAnsi="Times New Roman" w:eastAsia="仿宋_GB2312" w:cs="Times New Roman"/>
                <w:spacing w:val="0"/>
                <w:kern w:val="0"/>
                <w:position w:val="0"/>
                <w:sz w:val="32"/>
                <w:szCs w:val="32"/>
                <w:highlight w:val="none"/>
                <w:lang w:val="en-US" w:eastAsia="zh-CN" w:bidi="ar"/>
              </w:rPr>
              <w:t>区</w:t>
            </w:r>
          </w:p>
        </w:tc>
        <w:tc>
          <w:tcPr>
            <w:tcW w:w="5835" w:type="dxa"/>
            <w:vAlign w:val="center"/>
          </w:tcPr>
          <w:p w14:paraId="6050B408">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lang w:val="en-US" w:eastAsia="zh-CN" w:bidi="ar"/>
              </w:rPr>
              <w:t>建设收储加工中心2个，饲料化模式总结，草谷比、可收集系数和还田监测</w:t>
            </w:r>
          </w:p>
        </w:tc>
      </w:tr>
      <w:tr w14:paraId="5C94F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Align w:val="center"/>
          </w:tcPr>
          <w:p w14:paraId="0FDAA13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2</w:t>
            </w:r>
          </w:p>
        </w:tc>
        <w:tc>
          <w:tcPr>
            <w:tcW w:w="2190" w:type="dxa"/>
            <w:vAlign w:val="center"/>
          </w:tcPr>
          <w:p w14:paraId="1B49399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Style w:val="11"/>
                <w:rFonts w:hint="default" w:ascii="Times New Roman" w:hAnsi="Times New Roman" w:eastAsia="仿宋_GB2312" w:cs="Times New Roman"/>
                <w:spacing w:val="0"/>
                <w:kern w:val="0"/>
                <w:position w:val="0"/>
                <w:sz w:val="32"/>
                <w:szCs w:val="32"/>
                <w:highlight w:val="none"/>
                <w:lang w:val="en-US" w:eastAsia="zh-CN" w:bidi="ar"/>
              </w:rPr>
              <w:t>农</w:t>
            </w:r>
            <w:r>
              <w:rPr>
                <w:rStyle w:val="12"/>
                <w:rFonts w:hint="default" w:ascii="Times New Roman" w:hAnsi="Times New Roman" w:eastAsia="仿宋_GB2312" w:cs="Times New Roman"/>
                <w:spacing w:val="0"/>
                <w:kern w:val="0"/>
                <w:position w:val="0"/>
                <w:sz w:val="32"/>
                <w:szCs w:val="32"/>
                <w:highlight w:val="none"/>
                <w:lang w:val="en-US" w:eastAsia="zh-CN" w:bidi="ar"/>
              </w:rPr>
              <w:t xml:space="preserve"> </w:t>
            </w:r>
            <w:r>
              <w:rPr>
                <w:rStyle w:val="11"/>
                <w:rFonts w:hint="default" w:ascii="Times New Roman" w:hAnsi="Times New Roman" w:eastAsia="仿宋_GB2312" w:cs="Times New Roman"/>
                <w:spacing w:val="0"/>
                <w:kern w:val="0"/>
                <w:position w:val="0"/>
                <w:sz w:val="32"/>
                <w:szCs w:val="32"/>
                <w:highlight w:val="none"/>
                <w:lang w:val="en-US" w:eastAsia="zh-CN" w:bidi="ar"/>
              </w:rPr>
              <w:t>安</w:t>
            </w:r>
            <w:r>
              <w:rPr>
                <w:rStyle w:val="12"/>
                <w:rFonts w:hint="default" w:ascii="Times New Roman" w:hAnsi="Times New Roman" w:eastAsia="仿宋_GB2312" w:cs="Times New Roman"/>
                <w:spacing w:val="0"/>
                <w:kern w:val="0"/>
                <w:position w:val="0"/>
                <w:sz w:val="32"/>
                <w:szCs w:val="32"/>
                <w:highlight w:val="none"/>
                <w:lang w:val="en-US" w:eastAsia="zh-CN" w:bidi="ar"/>
              </w:rPr>
              <w:t xml:space="preserve"> </w:t>
            </w:r>
            <w:r>
              <w:rPr>
                <w:rStyle w:val="11"/>
                <w:rFonts w:hint="default" w:ascii="Times New Roman" w:hAnsi="Times New Roman" w:eastAsia="仿宋_GB2312" w:cs="Times New Roman"/>
                <w:spacing w:val="0"/>
                <w:kern w:val="0"/>
                <w:position w:val="0"/>
                <w:sz w:val="32"/>
                <w:szCs w:val="32"/>
                <w:highlight w:val="none"/>
                <w:lang w:val="en-US" w:eastAsia="zh-CN" w:bidi="ar"/>
              </w:rPr>
              <w:t>县</w:t>
            </w:r>
          </w:p>
        </w:tc>
        <w:tc>
          <w:tcPr>
            <w:tcW w:w="5835" w:type="dxa"/>
            <w:vAlign w:val="center"/>
          </w:tcPr>
          <w:p w14:paraId="22ED5DB8">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建设收储加工中心3个，草谷比、可收集系数和还田监测</w:t>
            </w:r>
          </w:p>
        </w:tc>
      </w:tr>
      <w:tr w14:paraId="2201B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Align w:val="center"/>
          </w:tcPr>
          <w:p w14:paraId="12B2A8C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3</w:t>
            </w:r>
          </w:p>
        </w:tc>
        <w:tc>
          <w:tcPr>
            <w:tcW w:w="2190" w:type="dxa"/>
            <w:vAlign w:val="center"/>
          </w:tcPr>
          <w:p w14:paraId="1384752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Style w:val="11"/>
                <w:rFonts w:hint="default" w:ascii="Times New Roman" w:hAnsi="Times New Roman" w:eastAsia="仿宋_GB2312" w:cs="Times New Roman"/>
                <w:spacing w:val="0"/>
                <w:kern w:val="0"/>
                <w:position w:val="0"/>
                <w:sz w:val="32"/>
                <w:szCs w:val="32"/>
                <w:highlight w:val="none"/>
                <w:lang w:val="en-US" w:eastAsia="zh-CN" w:bidi="ar"/>
              </w:rPr>
              <w:t>榆</w:t>
            </w:r>
            <w:r>
              <w:rPr>
                <w:rStyle w:val="12"/>
                <w:rFonts w:hint="default" w:ascii="Times New Roman" w:hAnsi="Times New Roman" w:eastAsia="仿宋_GB2312" w:cs="Times New Roman"/>
                <w:spacing w:val="0"/>
                <w:kern w:val="0"/>
                <w:position w:val="0"/>
                <w:sz w:val="32"/>
                <w:szCs w:val="32"/>
                <w:highlight w:val="none"/>
                <w:lang w:val="en-US" w:eastAsia="zh-CN" w:bidi="ar"/>
              </w:rPr>
              <w:t xml:space="preserve"> </w:t>
            </w:r>
            <w:r>
              <w:rPr>
                <w:rStyle w:val="11"/>
                <w:rFonts w:hint="default" w:ascii="Times New Roman" w:hAnsi="Times New Roman" w:eastAsia="仿宋_GB2312" w:cs="Times New Roman"/>
                <w:spacing w:val="0"/>
                <w:kern w:val="0"/>
                <w:position w:val="0"/>
                <w:sz w:val="32"/>
                <w:szCs w:val="32"/>
                <w:highlight w:val="none"/>
                <w:lang w:val="en-US" w:eastAsia="zh-CN" w:bidi="ar"/>
              </w:rPr>
              <w:t>树</w:t>
            </w:r>
            <w:r>
              <w:rPr>
                <w:rStyle w:val="12"/>
                <w:rFonts w:hint="default" w:ascii="Times New Roman" w:hAnsi="Times New Roman" w:eastAsia="仿宋_GB2312" w:cs="Times New Roman"/>
                <w:spacing w:val="0"/>
                <w:kern w:val="0"/>
                <w:position w:val="0"/>
                <w:sz w:val="32"/>
                <w:szCs w:val="32"/>
                <w:highlight w:val="none"/>
                <w:lang w:val="en-US" w:eastAsia="zh-CN" w:bidi="ar"/>
              </w:rPr>
              <w:t xml:space="preserve"> </w:t>
            </w:r>
            <w:r>
              <w:rPr>
                <w:rStyle w:val="11"/>
                <w:rFonts w:hint="default" w:ascii="Times New Roman" w:hAnsi="Times New Roman" w:eastAsia="仿宋_GB2312" w:cs="Times New Roman"/>
                <w:spacing w:val="0"/>
                <w:kern w:val="0"/>
                <w:position w:val="0"/>
                <w:sz w:val="32"/>
                <w:szCs w:val="32"/>
                <w:highlight w:val="none"/>
                <w:lang w:val="en-US" w:eastAsia="zh-CN" w:bidi="ar"/>
              </w:rPr>
              <w:t>市</w:t>
            </w:r>
          </w:p>
        </w:tc>
        <w:tc>
          <w:tcPr>
            <w:tcW w:w="5835" w:type="dxa"/>
            <w:vAlign w:val="center"/>
          </w:tcPr>
          <w:p w14:paraId="3C842AF5">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建设收储加工中心2个，草谷比、可收集系数和还田监测</w:t>
            </w:r>
          </w:p>
        </w:tc>
      </w:tr>
      <w:tr w14:paraId="1BA8C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Align w:val="center"/>
          </w:tcPr>
          <w:p w14:paraId="3F8F3FF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4</w:t>
            </w:r>
          </w:p>
        </w:tc>
        <w:tc>
          <w:tcPr>
            <w:tcW w:w="2190" w:type="dxa"/>
            <w:vAlign w:val="center"/>
          </w:tcPr>
          <w:p w14:paraId="1759BDF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Style w:val="11"/>
                <w:rFonts w:hint="default" w:ascii="Times New Roman" w:hAnsi="Times New Roman" w:eastAsia="仿宋_GB2312" w:cs="Times New Roman"/>
                <w:spacing w:val="0"/>
                <w:kern w:val="0"/>
                <w:position w:val="0"/>
                <w:sz w:val="32"/>
                <w:szCs w:val="32"/>
                <w:highlight w:val="none"/>
                <w:lang w:val="en-US" w:eastAsia="zh-CN" w:bidi="ar"/>
              </w:rPr>
              <w:t>公主岭市</w:t>
            </w:r>
          </w:p>
        </w:tc>
        <w:tc>
          <w:tcPr>
            <w:tcW w:w="5835" w:type="dxa"/>
            <w:vAlign w:val="center"/>
          </w:tcPr>
          <w:p w14:paraId="63BC939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建设收储加工中心1个，草谷比、可收集系数和还田监测</w:t>
            </w:r>
          </w:p>
        </w:tc>
      </w:tr>
      <w:tr w14:paraId="38060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Align w:val="center"/>
          </w:tcPr>
          <w:p w14:paraId="3600EB3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5</w:t>
            </w:r>
          </w:p>
        </w:tc>
        <w:tc>
          <w:tcPr>
            <w:tcW w:w="2190" w:type="dxa"/>
            <w:vAlign w:val="center"/>
          </w:tcPr>
          <w:p w14:paraId="4E85B32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Style w:val="11"/>
                <w:rFonts w:hint="default" w:ascii="Times New Roman" w:hAnsi="Times New Roman" w:eastAsia="仿宋_GB2312" w:cs="Times New Roman"/>
                <w:spacing w:val="0"/>
                <w:kern w:val="0"/>
                <w:position w:val="0"/>
                <w:sz w:val="32"/>
                <w:szCs w:val="32"/>
                <w:highlight w:val="none"/>
                <w:lang w:val="en-US" w:eastAsia="zh-CN" w:bidi="ar"/>
              </w:rPr>
              <w:t>九</w:t>
            </w:r>
            <w:r>
              <w:rPr>
                <w:rStyle w:val="12"/>
                <w:rFonts w:hint="default" w:ascii="Times New Roman" w:hAnsi="Times New Roman" w:eastAsia="仿宋_GB2312" w:cs="Times New Roman"/>
                <w:spacing w:val="0"/>
                <w:kern w:val="0"/>
                <w:position w:val="0"/>
                <w:sz w:val="32"/>
                <w:szCs w:val="32"/>
                <w:highlight w:val="none"/>
                <w:lang w:val="en-US" w:eastAsia="zh-CN" w:bidi="ar"/>
              </w:rPr>
              <w:t xml:space="preserve"> </w:t>
            </w:r>
            <w:r>
              <w:rPr>
                <w:rStyle w:val="11"/>
                <w:rFonts w:hint="default" w:ascii="Times New Roman" w:hAnsi="Times New Roman" w:eastAsia="仿宋_GB2312" w:cs="Times New Roman"/>
                <w:spacing w:val="0"/>
                <w:kern w:val="0"/>
                <w:position w:val="0"/>
                <w:sz w:val="32"/>
                <w:szCs w:val="32"/>
                <w:highlight w:val="none"/>
                <w:lang w:val="en-US" w:eastAsia="zh-CN" w:bidi="ar"/>
              </w:rPr>
              <w:t>台</w:t>
            </w:r>
            <w:r>
              <w:rPr>
                <w:rStyle w:val="12"/>
                <w:rFonts w:hint="default" w:ascii="Times New Roman" w:hAnsi="Times New Roman" w:eastAsia="仿宋_GB2312" w:cs="Times New Roman"/>
                <w:spacing w:val="0"/>
                <w:kern w:val="0"/>
                <w:position w:val="0"/>
                <w:sz w:val="32"/>
                <w:szCs w:val="32"/>
                <w:highlight w:val="none"/>
                <w:lang w:val="en-US" w:eastAsia="zh-CN" w:bidi="ar"/>
              </w:rPr>
              <w:t xml:space="preserve"> </w:t>
            </w:r>
            <w:r>
              <w:rPr>
                <w:rStyle w:val="11"/>
                <w:rFonts w:hint="default" w:ascii="Times New Roman" w:hAnsi="Times New Roman" w:eastAsia="仿宋_GB2312" w:cs="Times New Roman"/>
                <w:spacing w:val="0"/>
                <w:kern w:val="0"/>
                <w:position w:val="0"/>
                <w:sz w:val="32"/>
                <w:szCs w:val="32"/>
                <w:highlight w:val="none"/>
                <w:lang w:val="en-US" w:eastAsia="zh-CN" w:bidi="ar"/>
              </w:rPr>
              <w:t>区</w:t>
            </w:r>
          </w:p>
        </w:tc>
        <w:tc>
          <w:tcPr>
            <w:tcW w:w="5835" w:type="dxa"/>
            <w:vAlign w:val="center"/>
          </w:tcPr>
          <w:p w14:paraId="3A03A41A">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建设收储加工中心2个，草谷比、可收集系数和还田监测</w:t>
            </w:r>
          </w:p>
        </w:tc>
      </w:tr>
      <w:tr w14:paraId="1B1E2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Align w:val="center"/>
          </w:tcPr>
          <w:p w14:paraId="77709A8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6</w:t>
            </w:r>
          </w:p>
        </w:tc>
        <w:tc>
          <w:tcPr>
            <w:tcW w:w="2190" w:type="dxa"/>
            <w:vAlign w:val="center"/>
          </w:tcPr>
          <w:p w14:paraId="68A3342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Style w:val="11"/>
                <w:rFonts w:hint="default" w:ascii="Times New Roman" w:hAnsi="Times New Roman" w:eastAsia="仿宋_GB2312" w:cs="Times New Roman"/>
                <w:spacing w:val="0"/>
                <w:kern w:val="0"/>
                <w:position w:val="0"/>
                <w:sz w:val="32"/>
                <w:szCs w:val="32"/>
                <w:highlight w:val="none"/>
                <w:lang w:val="en-US" w:eastAsia="zh-CN" w:bidi="ar"/>
              </w:rPr>
              <w:t>德</w:t>
            </w:r>
            <w:r>
              <w:rPr>
                <w:rStyle w:val="12"/>
                <w:rFonts w:hint="default" w:ascii="Times New Roman" w:hAnsi="Times New Roman" w:eastAsia="仿宋_GB2312" w:cs="Times New Roman"/>
                <w:spacing w:val="0"/>
                <w:kern w:val="0"/>
                <w:position w:val="0"/>
                <w:sz w:val="32"/>
                <w:szCs w:val="32"/>
                <w:highlight w:val="none"/>
                <w:lang w:val="en-US" w:eastAsia="zh-CN" w:bidi="ar"/>
              </w:rPr>
              <w:t xml:space="preserve"> </w:t>
            </w:r>
            <w:r>
              <w:rPr>
                <w:rStyle w:val="11"/>
                <w:rFonts w:hint="default" w:ascii="Times New Roman" w:hAnsi="Times New Roman" w:eastAsia="仿宋_GB2312" w:cs="Times New Roman"/>
                <w:spacing w:val="0"/>
                <w:kern w:val="0"/>
                <w:position w:val="0"/>
                <w:sz w:val="32"/>
                <w:szCs w:val="32"/>
                <w:highlight w:val="none"/>
                <w:lang w:val="en-US" w:eastAsia="zh-CN" w:bidi="ar"/>
              </w:rPr>
              <w:t>惠</w:t>
            </w:r>
            <w:r>
              <w:rPr>
                <w:rStyle w:val="12"/>
                <w:rFonts w:hint="default" w:ascii="Times New Roman" w:hAnsi="Times New Roman" w:eastAsia="仿宋_GB2312" w:cs="Times New Roman"/>
                <w:spacing w:val="0"/>
                <w:kern w:val="0"/>
                <w:position w:val="0"/>
                <w:sz w:val="32"/>
                <w:szCs w:val="32"/>
                <w:highlight w:val="none"/>
                <w:lang w:val="en-US" w:eastAsia="zh-CN" w:bidi="ar"/>
              </w:rPr>
              <w:t xml:space="preserve"> </w:t>
            </w:r>
            <w:r>
              <w:rPr>
                <w:rStyle w:val="11"/>
                <w:rFonts w:hint="default" w:ascii="Times New Roman" w:hAnsi="Times New Roman" w:eastAsia="仿宋_GB2312" w:cs="Times New Roman"/>
                <w:spacing w:val="0"/>
                <w:kern w:val="0"/>
                <w:position w:val="0"/>
                <w:sz w:val="32"/>
                <w:szCs w:val="32"/>
                <w:highlight w:val="none"/>
                <w:lang w:val="en-US" w:eastAsia="zh-CN" w:bidi="ar"/>
              </w:rPr>
              <w:t>市</w:t>
            </w:r>
          </w:p>
        </w:tc>
        <w:tc>
          <w:tcPr>
            <w:tcW w:w="5835" w:type="dxa"/>
            <w:vAlign w:val="center"/>
          </w:tcPr>
          <w:p w14:paraId="7A79DA3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建设收储加工中心1个，草谷比、可收集系数和还田监测</w:t>
            </w:r>
          </w:p>
        </w:tc>
      </w:tr>
      <w:tr w14:paraId="51533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shd w:val="clear" w:color="auto" w:fill="auto"/>
            <w:vAlign w:val="center"/>
          </w:tcPr>
          <w:p w14:paraId="507B5BF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7</w:t>
            </w:r>
          </w:p>
        </w:tc>
        <w:tc>
          <w:tcPr>
            <w:tcW w:w="2190" w:type="dxa"/>
            <w:vAlign w:val="center"/>
          </w:tcPr>
          <w:p w14:paraId="6E8BA4F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i w:val="0"/>
                <w:iCs w:val="0"/>
                <w:color w:val="000000"/>
                <w:spacing w:val="0"/>
                <w:kern w:val="0"/>
                <w:position w:val="0"/>
                <w:sz w:val="32"/>
                <w:szCs w:val="32"/>
                <w:highlight w:val="none"/>
                <w:u w:val="none"/>
                <w:lang w:val="en-US" w:eastAsia="zh-CN" w:bidi="ar"/>
              </w:rPr>
            </w:pPr>
            <w:r>
              <w:rPr>
                <w:rFonts w:hint="default" w:ascii="Times New Roman" w:hAnsi="Times New Roman" w:eastAsia="仿宋_GB2312" w:cs="Times New Roman"/>
                <w:i w:val="0"/>
                <w:iCs w:val="0"/>
                <w:color w:val="000000"/>
                <w:spacing w:val="0"/>
                <w:kern w:val="0"/>
                <w:position w:val="0"/>
                <w:sz w:val="32"/>
                <w:szCs w:val="32"/>
                <w:highlight w:val="none"/>
                <w:u w:val="none"/>
                <w:lang w:val="en-US" w:eastAsia="zh-CN" w:bidi="ar"/>
              </w:rPr>
              <w:t>昌 邑 区</w:t>
            </w:r>
          </w:p>
        </w:tc>
        <w:tc>
          <w:tcPr>
            <w:tcW w:w="5835" w:type="dxa"/>
            <w:vAlign w:val="center"/>
          </w:tcPr>
          <w:p w14:paraId="3FC1535A">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草谷比、可收集系数和还田监测</w:t>
            </w:r>
          </w:p>
        </w:tc>
      </w:tr>
      <w:tr w14:paraId="5B806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shd w:val="clear" w:color="auto" w:fill="auto"/>
            <w:vAlign w:val="center"/>
          </w:tcPr>
          <w:p w14:paraId="0A0A6FC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8</w:t>
            </w:r>
          </w:p>
        </w:tc>
        <w:tc>
          <w:tcPr>
            <w:tcW w:w="2190" w:type="dxa"/>
            <w:vAlign w:val="center"/>
          </w:tcPr>
          <w:p w14:paraId="7C8064B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i w:val="0"/>
                <w:iCs w:val="0"/>
                <w:color w:val="000000"/>
                <w:spacing w:val="0"/>
                <w:kern w:val="0"/>
                <w:position w:val="0"/>
                <w:sz w:val="32"/>
                <w:szCs w:val="32"/>
                <w:highlight w:val="none"/>
                <w:u w:val="none"/>
                <w:lang w:val="en-US" w:eastAsia="zh-CN" w:bidi="ar"/>
              </w:rPr>
              <w:t>永 吉 县</w:t>
            </w:r>
          </w:p>
        </w:tc>
        <w:tc>
          <w:tcPr>
            <w:tcW w:w="5835" w:type="dxa"/>
            <w:vAlign w:val="center"/>
          </w:tcPr>
          <w:p w14:paraId="7F15B867">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草谷比、可收集系数和还田监测</w:t>
            </w:r>
          </w:p>
        </w:tc>
      </w:tr>
      <w:tr w14:paraId="5536A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shd w:val="clear" w:color="auto" w:fill="auto"/>
            <w:vAlign w:val="center"/>
          </w:tcPr>
          <w:p w14:paraId="5E5B35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9</w:t>
            </w:r>
          </w:p>
        </w:tc>
        <w:tc>
          <w:tcPr>
            <w:tcW w:w="2190" w:type="dxa"/>
            <w:vAlign w:val="center"/>
          </w:tcPr>
          <w:p w14:paraId="0BC3C2F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i w:val="0"/>
                <w:iCs w:val="0"/>
                <w:color w:val="000000"/>
                <w:spacing w:val="0"/>
                <w:kern w:val="0"/>
                <w:position w:val="0"/>
                <w:sz w:val="32"/>
                <w:szCs w:val="32"/>
                <w:highlight w:val="none"/>
                <w:u w:val="none"/>
                <w:lang w:val="en-US" w:eastAsia="zh-CN" w:bidi="ar"/>
              </w:rPr>
              <w:t>舒 兰 市</w:t>
            </w:r>
          </w:p>
        </w:tc>
        <w:tc>
          <w:tcPr>
            <w:tcW w:w="5835" w:type="dxa"/>
            <w:vAlign w:val="center"/>
          </w:tcPr>
          <w:p w14:paraId="05282C02">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建设收储加工中心2个，草谷比、可收集系数和还田监测</w:t>
            </w:r>
          </w:p>
        </w:tc>
      </w:tr>
      <w:tr w14:paraId="0CDD1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shd w:val="clear" w:color="auto" w:fill="auto"/>
            <w:vAlign w:val="center"/>
          </w:tcPr>
          <w:p w14:paraId="55FE79E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10</w:t>
            </w:r>
          </w:p>
        </w:tc>
        <w:tc>
          <w:tcPr>
            <w:tcW w:w="2190" w:type="dxa"/>
            <w:vAlign w:val="center"/>
          </w:tcPr>
          <w:p w14:paraId="60F8EB5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i w:val="0"/>
                <w:iCs w:val="0"/>
                <w:color w:val="000000"/>
                <w:spacing w:val="0"/>
                <w:kern w:val="0"/>
                <w:position w:val="0"/>
                <w:sz w:val="32"/>
                <w:szCs w:val="32"/>
                <w:highlight w:val="none"/>
                <w:u w:val="none"/>
                <w:lang w:val="en-US" w:eastAsia="zh-CN" w:bidi="ar"/>
              </w:rPr>
              <w:t>磐 石 市</w:t>
            </w:r>
          </w:p>
        </w:tc>
        <w:tc>
          <w:tcPr>
            <w:tcW w:w="5835" w:type="dxa"/>
            <w:vAlign w:val="center"/>
          </w:tcPr>
          <w:p w14:paraId="4FA7284B">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草谷比、可收集系数和还田监测</w:t>
            </w:r>
          </w:p>
        </w:tc>
      </w:tr>
      <w:tr w14:paraId="430D0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shd w:val="clear" w:color="auto" w:fill="auto"/>
            <w:vAlign w:val="center"/>
          </w:tcPr>
          <w:p w14:paraId="5D7B582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11</w:t>
            </w:r>
          </w:p>
        </w:tc>
        <w:tc>
          <w:tcPr>
            <w:tcW w:w="2190" w:type="dxa"/>
            <w:vAlign w:val="center"/>
          </w:tcPr>
          <w:p w14:paraId="46DA205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i w:val="0"/>
                <w:iCs w:val="0"/>
                <w:color w:val="000000"/>
                <w:spacing w:val="0"/>
                <w:kern w:val="0"/>
                <w:position w:val="0"/>
                <w:sz w:val="32"/>
                <w:szCs w:val="32"/>
                <w:highlight w:val="none"/>
                <w:u w:val="none"/>
                <w:lang w:val="en-US" w:eastAsia="zh-CN" w:bidi="ar"/>
              </w:rPr>
            </w:pPr>
            <w:r>
              <w:rPr>
                <w:rFonts w:hint="default" w:ascii="Times New Roman" w:hAnsi="Times New Roman" w:eastAsia="仿宋_GB2312" w:cs="Times New Roman"/>
                <w:i w:val="0"/>
                <w:iCs w:val="0"/>
                <w:color w:val="000000"/>
                <w:spacing w:val="0"/>
                <w:kern w:val="0"/>
                <w:position w:val="0"/>
                <w:sz w:val="32"/>
                <w:szCs w:val="32"/>
                <w:highlight w:val="none"/>
                <w:u w:val="none"/>
                <w:lang w:val="en-US" w:eastAsia="zh-CN" w:bidi="ar"/>
              </w:rPr>
              <w:t>蛟 河 市</w:t>
            </w:r>
          </w:p>
        </w:tc>
        <w:tc>
          <w:tcPr>
            <w:tcW w:w="5835" w:type="dxa"/>
            <w:shd w:val="clear" w:color="auto" w:fill="auto"/>
            <w:vAlign w:val="center"/>
          </w:tcPr>
          <w:p w14:paraId="4325AE75">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草谷比、可收集系数和还田监测</w:t>
            </w:r>
          </w:p>
        </w:tc>
      </w:tr>
      <w:tr w14:paraId="27752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shd w:val="clear" w:color="auto" w:fill="auto"/>
            <w:vAlign w:val="center"/>
          </w:tcPr>
          <w:p w14:paraId="62F4272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12</w:t>
            </w:r>
          </w:p>
        </w:tc>
        <w:tc>
          <w:tcPr>
            <w:tcW w:w="2190" w:type="dxa"/>
            <w:vAlign w:val="center"/>
          </w:tcPr>
          <w:p w14:paraId="2E990AB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i w:val="0"/>
                <w:iCs w:val="0"/>
                <w:color w:val="000000"/>
                <w:spacing w:val="0"/>
                <w:kern w:val="0"/>
                <w:position w:val="0"/>
                <w:sz w:val="32"/>
                <w:szCs w:val="32"/>
                <w:highlight w:val="none"/>
                <w:u w:val="none"/>
                <w:lang w:val="en-US" w:eastAsia="zh-CN" w:bidi="ar"/>
              </w:rPr>
              <w:t>桦 甸 市</w:t>
            </w:r>
          </w:p>
        </w:tc>
        <w:tc>
          <w:tcPr>
            <w:tcW w:w="5835" w:type="dxa"/>
            <w:vAlign w:val="center"/>
          </w:tcPr>
          <w:p w14:paraId="12CCD734">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建设收储加工中心1个，饲料化模式总结，草谷比、可收集系数和还田监测</w:t>
            </w:r>
          </w:p>
        </w:tc>
      </w:tr>
      <w:tr w14:paraId="44671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shd w:val="clear" w:color="auto" w:fill="auto"/>
            <w:vAlign w:val="center"/>
          </w:tcPr>
          <w:p w14:paraId="72CEF41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13</w:t>
            </w:r>
          </w:p>
        </w:tc>
        <w:tc>
          <w:tcPr>
            <w:tcW w:w="2190" w:type="dxa"/>
            <w:vAlign w:val="center"/>
          </w:tcPr>
          <w:p w14:paraId="64C46BB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i w:val="0"/>
                <w:iCs w:val="0"/>
                <w:color w:val="000000"/>
                <w:spacing w:val="0"/>
                <w:kern w:val="0"/>
                <w:position w:val="0"/>
                <w:sz w:val="32"/>
                <w:szCs w:val="32"/>
                <w:highlight w:val="none"/>
                <w:u w:val="none"/>
                <w:lang w:val="en-US" w:eastAsia="zh-CN" w:bidi="ar"/>
              </w:rPr>
              <w:t>双 辽 市</w:t>
            </w:r>
          </w:p>
        </w:tc>
        <w:tc>
          <w:tcPr>
            <w:tcW w:w="5835" w:type="dxa"/>
            <w:vAlign w:val="center"/>
          </w:tcPr>
          <w:p w14:paraId="179BBF79">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建设收储加工中心1个，草谷比、可收集系数和还田监测</w:t>
            </w:r>
          </w:p>
        </w:tc>
      </w:tr>
      <w:tr w14:paraId="30781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shd w:val="clear" w:color="auto" w:fill="auto"/>
            <w:vAlign w:val="center"/>
          </w:tcPr>
          <w:p w14:paraId="6C3CEE9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14</w:t>
            </w:r>
          </w:p>
        </w:tc>
        <w:tc>
          <w:tcPr>
            <w:tcW w:w="2190" w:type="dxa"/>
            <w:vAlign w:val="center"/>
          </w:tcPr>
          <w:p w14:paraId="74ADBB1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i w:val="0"/>
                <w:iCs w:val="0"/>
                <w:color w:val="000000"/>
                <w:spacing w:val="0"/>
                <w:kern w:val="0"/>
                <w:position w:val="0"/>
                <w:sz w:val="32"/>
                <w:szCs w:val="32"/>
                <w:highlight w:val="none"/>
                <w:u w:val="none"/>
                <w:lang w:val="en-US" w:eastAsia="zh-CN" w:bidi="ar"/>
              </w:rPr>
              <w:t>伊 通 县</w:t>
            </w:r>
          </w:p>
        </w:tc>
        <w:tc>
          <w:tcPr>
            <w:tcW w:w="5835" w:type="dxa"/>
            <w:vAlign w:val="center"/>
          </w:tcPr>
          <w:p w14:paraId="4EBE5756">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建设收储加工中心1个，草谷比、可收集系数和还田监测</w:t>
            </w:r>
          </w:p>
        </w:tc>
      </w:tr>
      <w:tr w14:paraId="1FC28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shd w:val="clear" w:color="auto" w:fill="auto"/>
            <w:vAlign w:val="center"/>
          </w:tcPr>
          <w:p w14:paraId="4FFD8A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15</w:t>
            </w:r>
          </w:p>
        </w:tc>
        <w:tc>
          <w:tcPr>
            <w:tcW w:w="2190" w:type="dxa"/>
            <w:vAlign w:val="center"/>
          </w:tcPr>
          <w:p w14:paraId="794B0FE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i w:val="0"/>
                <w:iCs w:val="0"/>
                <w:color w:val="000000"/>
                <w:spacing w:val="0"/>
                <w:kern w:val="0"/>
                <w:position w:val="0"/>
                <w:sz w:val="32"/>
                <w:szCs w:val="32"/>
                <w:highlight w:val="none"/>
                <w:u w:val="none"/>
                <w:lang w:val="en-US" w:eastAsia="zh-CN" w:bidi="ar"/>
              </w:rPr>
              <w:t>梨 树 县</w:t>
            </w:r>
          </w:p>
        </w:tc>
        <w:tc>
          <w:tcPr>
            <w:tcW w:w="5835" w:type="dxa"/>
            <w:vAlign w:val="center"/>
          </w:tcPr>
          <w:p w14:paraId="44C1B53F">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建设收储加工中心1个，草谷比、可收集系数和还田监测</w:t>
            </w:r>
          </w:p>
        </w:tc>
      </w:tr>
      <w:tr w14:paraId="03723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shd w:val="clear" w:color="auto" w:fill="auto"/>
            <w:vAlign w:val="center"/>
          </w:tcPr>
          <w:p w14:paraId="6E43D28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16</w:t>
            </w:r>
          </w:p>
        </w:tc>
        <w:tc>
          <w:tcPr>
            <w:tcW w:w="2190" w:type="dxa"/>
            <w:vAlign w:val="center"/>
          </w:tcPr>
          <w:p w14:paraId="42E4F96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i w:val="0"/>
                <w:iCs w:val="0"/>
                <w:color w:val="000000"/>
                <w:spacing w:val="0"/>
                <w:kern w:val="0"/>
                <w:position w:val="0"/>
                <w:sz w:val="32"/>
                <w:szCs w:val="32"/>
                <w:highlight w:val="none"/>
                <w:u w:val="none"/>
                <w:lang w:val="en-US" w:eastAsia="zh-CN" w:bidi="ar"/>
              </w:rPr>
              <w:t>东 丰 县</w:t>
            </w:r>
          </w:p>
        </w:tc>
        <w:tc>
          <w:tcPr>
            <w:tcW w:w="5835" w:type="dxa"/>
            <w:vAlign w:val="center"/>
          </w:tcPr>
          <w:p w14:paraId="1EB5B174">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建设收储加工中心2个，饲料化模式总结，草谷比、可收集系数和还田监测</w:t>
            </w:r>
          </w:p>
        </w:tc>
      </w:tr>
      <w:tr w14:paraId="5EEC1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shd w:val="clear" w:color="auto" w:fill="auto"/>
            <w:vAlign w:val="center"/>
          </w:tcPr>
          <w:p w14:paraId="3D9D8D4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17</w:t>
            </w:r>
          </w:p>
        </w:tc>
        <w:tc>
          <w:tcPr>
            <w:tcW w:w="2190" w:type="dxa"/>
            <w:vAlign w:val="center"/>
          </w:tcPr>
          <w:p w14:paraId="281C736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i w:val="0"/>
                <w:iCs w:val="0"/>
                <w:color w:val="000000"/>
                <w:spacing w:val="0"/>
                <w:kern w:val="0"/>
                <w:position w:val="0"/>
                <w:sz w:val="32"/>
                <w:szCs w:val="32"/>
                <w:highlight w:val="none"/>
                <w:u w:val="none"/>
                <w:lang w:val="en-US" w:eastAsia="zh-CN" w:bidi="ar"/>
              </w:rPr>
              <w:t>东 辽 县</w:t>
            </w:r>
          </w:p>
        </w:tc>
        <w:tc>
          <w:tcPr>
            <w:tcW w:w="5835" w:type="dxa"/>
            <w:vAlign w:val="center"/>
          </w:tcPr>
          <w:p w14:paraId="0C91E783">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建设收储加工中心2个，草谷比、可收集系数和还田监测</w:t>
            </w:r>
          </w:p>
        </w:tc>
      </w:tr>
      <w:tr w14:paraId="01600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shd w:val="clear" w:color="auto" w:fill="auto"/>
            <w:vAlign w:val="center"/>
          </w:tcPr>
          <w:p w14:paraId="0DCEDF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18</w:t>
            </w:r>
          </w:p>
        </w:tc>
        <w:tc>
          <w:tcPr>
            <w:tcW w:w="2190" w:type="dxa"/>
            <w:vAlign w:val="center"/>
          </w:tcPr>
          <w:p w14:paraId="0319145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i w:val="0"/>
                <w:iCs w:val="0"/>
                <w:color w:val="000000"/>
                <w:spacing w:val="0"/>
                <w:kern w:val="0"/>
                <w:position w:val="0"/>
                <w:sz w:val="32"/>
                <w:szCs w:val="32"/>
                <w:highlight w:val="none"/>
                <w:u w:val="none"/>
                <w:lang w:val="en-US" w:eastAsia="zh-CN" w:bidi="ar"/>
              </w:rPr>
              <w:t>柳 河 县</w:t>
            </w:r>
          </w:p>
        </w:tc>
        <w:tc>
          <w:tcPr>
            <w:tcW w:w="5835" w:type="dxa"/>
            <w:vAlign w:val="center"/>
          </w:tcPr>
          <w:p w14:paraId="5B231B40">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草谷比、可收集系数和还田监测</w:t>
            </w:r>
          </w:p>
        </w:tc>
      </w:tr>
      <w:tr w14:paraId="447F8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shd w:val="clear" w:color="auto" w:fill="auto"/>
            <w:vAlign w:val="center"/>
          </w:tcPr>
          <w:p w14:paraId="1436C55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19</w:t>
            </w:r>
          </w:p>
        </w:tc>
        <w:tc>
          <w:tcPr>
            <w:tcW w:w="2190" w:type="dxa"/>
            <w:vAlign w:val="center"/>
          </w:tcPr>
          <w:p w14:paraId="010FA08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i w:val="0"/>
                <w:iCs w:val="0"/>
                <w:color w:val="000000"/>
                <w:spacing w:val="0"/>
                <w:kern w:val="0"/>
                <w:position w:val="0"/>
                <w:sz w:val="32"/>
                <w:szCs w:val="32"/>
                <w:highlight w:val="none"/>
                <w:u w:val="none"/>
                <w:lang w:val="en-US" w:eastAsia="zh-CN" w:bidi="ar"/>
              </w:rPr>
              <w:t>辉 南 县</w:t>
            </w:r>
          </w:p>
        </w:tc>
        <w:tc>
          <w:tcPr>
            <w:tcW w:w="5835" w:type="dxa"/>
            <w:vAlign w:val="center"/>
          </w:tcPr>
          <w:p w14:paraId="6FB04DB5">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建设收储加工中心2个，草谷比、可收集系数和还田监测</w:t>
            </w:r>
          </w:p>
        </w:tc>
      </w:tr>
      <w:tr w14:paraId="3D8B1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shd w:val="clear" w:color="auto" w:fill="auto"/>
            <w:vAlign w:val="center"/>
          </w:tcPr>
          <w:p w14:paraId="7C96357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20</w:t>
            </w:r>
          </w:p>
        </w:tc>
        <w:tc>
          <w:tcPr>
            <w:tcW w:w="2190" w:type="dxa"/>
            <w:vAlign w:val="center"/>
          </w:tcPr>
          <w:p w14:paraId="39C96D4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i w:val="0"/>
                <w:iCs w:val="0"/>
                <w:color w:val="000000"/>
                <w:spacing w:val="0"/>
                <w:kern w:val="0"/>
                <w:position w:val="0"/>
                <w:sz w:val="32"/>
                <w:szCs w:val="32"/>
                <w:highlight w:val="none"/>
                <w:u w:val="none"/>
                <w:lang w:val="en-US" w:eastAsia="zh-CN" w:bidi="ar"/>
              </w:rPr>
              <w:t>洮 北 区</w:t>
            </w:r>
          </w:p>
        </w:tc>
        <w:tc>
          <w:tcPr>
            <w:tcW w:w="5835" w:type="dxa"/>
            <w:vAlign w:val="center"/>
          </w:tcPr>
          <w:p w14:paraId="0138D838">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建设收储加工中心1个，饲料化模式总结，草谷比、可收集系数和还田监测</w:t>
            </w:r>
          </w:p>
        </w:tc>
      </w:tr>
      <w:tr w14:paraId="2B16F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shd w:val="clear" w:color="auto" w:fill="auto"/>
            <w:vAlign w:val="center"/>
          </w:tcPr>
          <w:p w14:paraId="5B1A932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21</w:t>
            </w:r>
          </w:p>
        </w:tc>
        <w:tc>
          <w:tcPr>
            <w:tcW w:w="2190" w:type="dxa"/>
            <w:vAlign w:val="center"/>
          </w:tcPr>
          <w:p w14:paraId="20CE744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i w:val="0"/>
                <w:iCs w:val="0"/>
                <w:color w:val="000000"/>
                <w:spacing w:val="0"/>
                <w:kern w:val="0"/>
                <w:position w:val="0"/>
                <w:sz w:val="32"/>
                <w:szCs w:val="32"/>
                <w:highlight w:val="none"/>
                <w:u w:val="none"/>
                <w:lang w:val="en-US" w:eastAsia="zh-CN" w:bidi="ar"/>
              </w:rPr>
              <w:t>洮 南 市</w:t>
            </w:r>
          </w:p>
        </w:tc>
        <w:tc>
          <w:tcPr>
            <w:tcW w:w="5835" w:type="dxa"/>
            <w:vAlign w:val="center"/>
          </w:tcPr>
          <w:p w14:paraId="3EC3EC0D">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建设收储加工中心1个，草谷比、可收集系数和还田监测</w:t>
            </w:r>
          </w:p>
        </w:tc>
      </w:tr>
      <w:tr w14:paraId="77702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shd w:val="clear" w:color="auto" w:fill="auto"/>
            <w:vAlign w:val="center"/>
          </w:tcPr>
          <w:p w14:paraId="5F5C1EE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22</w:t>
            </w:r>
          </w:p>
        </w:tc>
        <w:tc>
          <w:tcPr>
            <w:tcW w:w="2190" w:type="dxa"/>
            <w:vAlign w:val="center"/>
          </w:tcPr>
          <w:p w14:paraId="26DE82C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i w:val="0"/>
                <w:iCs w:val="0"/>
                <w:color w:val="000000"/>
                <w:spacing w:val="0"/>
                <w:kern w:val="0"/>
                <w:position w:val="0"/>
                <w:sz w:val="32"/>
                <w:szCs w:val="32"/>
                <w:highlight w:val="none"/>
                <w:u w:val="none"/>
                <w:lang w:val="en-US" w:eastAsia="zh-CN" w:bidi="ar"/>
              </w:rPr>
              <w:t>镇 赉 县</w:t>
            </w:r>
          </w:p>
        </w:tc>
        <w:tc>
          <w:tcPr>
            <w:tcW w:w="5835" w:type="dxa"/>
            <w:vAlign w:val="center"/>
          </w:tcPr>
          <w:p w14:paraId="5CD81BE1">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建设收储加工中心1个，饲料化模式总结，草谷比、可收集系数和还田监测</w:t>
            </w:r>
          </w:p>
        </w:tc>
      </w:tr>
      <w:tr w14:paraId="4C5E7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shd w:val="clear" w:color="auto" w:fill="auto"/>
            <w:vAlign w:val="center"/>
          </w:tcPr>
          <w:p w14:paraId="0C9A115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23</w:t>
            </w:r>
          </w:p>
        </w:tc>
        <w:tc>
          <w:tcPr>
            <w:tcW w:w="2190" w:type="dxa"/>
            <w:vAlign w:val="center"/>
          </w:tcPr>
          <w:p w14:paraId="062A60E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i w:val="0"/>
                <w:iCs w:val="0"/>
                <w:color w:val="000000"/>
                <w:spacing w:val="0"/>
                <w:kern w:val="0"/>
                <w:position w:val="0"/>
                <w:sz w:val="32"/>
                <w:szCs w:val="32"/>
                <w:highlight w:val="none"/>
                <w:u w:val="none"/>
                <w:lang w:val="en-US" w:eastAsia="zh-CN" w:bidi="ar"/>
              </w:rPr>
              <w:t>通 榆 县</w:t>
            </w:r>
          </w:p>
        </w:tc>
        <w:tc>
          <w:tcPr>
            <w:tcW w:w="5835" w:type="dxa"/>
            <w:vAlign w:val="center"/>
          </w:tcPr>
          <w:p w14:paraId="2A15FFC7">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建设收储加工中心2个，草谷比、可收集系数和还田监测</w:t>
            </w:r>
          </w:p>
        </w:tc>
      </w:tr>
      <w:tr w14:paraId="4FBA3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shd w:val="clear" w:color="auto" w:fill="auto"/>
            <w:vAlign w:val="center"/>
          </w:tcPr>
          <w:p w14:paraId="3668F34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24</w:t>
            </w:r>
          </w:p>
        </w:tc>
        <w:tc>
          <w:tcPr>
            <w:tcW w:w="2190" w:type="dxa"/>
            <w:vAlign w:val="center"/>
          </w:tcPr>
          <w:p w14:paraId="1662586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i w:val="0"/>
                <w:iCs w:val="0"/>
                <w:color w:val="000000"/>
                <w:spacing w:val="0"/>
                <w:kern w:val="0"/>
                <w:position w:val="0"/>
                <w:sz w:val="32"/>
                <w:szCs w:val="32"/>
                <w:highlight w:val="none"/>
                <w:u w:val="none"/>
                <w:lang w:val="en-US" w:eastAsia="zh-CN" w:bidi="ar"/>
              </w:rPr>
              <w:t>大 安 市</w:t>
            </w:r>
          </w:p>
        </w:tc>
        <w:tc>
          <w:tcPr>
            <w:tcW w:w="5835" w:type="dxa"/>
            <w:vAlign w:val="center"/>
          </w:tcPr>
          <w:p w14:paraId="03C8B56F">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建设收储加工中心1个，草谷比、可收集系数和还田监测</w:t>
            </w:r>
          </w:p>
        </w:tc>
      </w:tr>
      <w:tr w14:paraId="690C1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shd w:val="clear" w:color="auto" w:fill="auto"/>
            <w:vAlign w:val="center"/>
          </w:tcPr>
          <w:p w14:paraId="6EEF479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25</w:t>
            </w:r>
          </w:p>
        </w:tc>
        <w:tc>
          <w:tcPr>
            <w:tcW w:w="2190" w:type="dxa"/>
            <w:vAlign w:val="center"/>
          </w:tcPr>
          <w:p w14:paraId="7C96D22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i w:val="0"/>
                <w:iCs w:val="0"/>
                <w:color w:val="000000"/>
                <w:spacing w:val="0"/>
                <w:kern w:val="0"/>
                <w:position w:val="0"/>
                <w:sz w:val="32"/>
                <w:szCs w:val="32"/>
                <w:highlight w:val="none"/>
                <w:u w:val="none"/>
                <w:lang w:val="en-US" w:eastAsia="zh-CN" w:bidi="ar"/>
              </w:rPr>
              <w:t>宁 江 区</w:t>
            </w:r>
          </w:p>
        </w:tc>
        <w:tc>
          <w:tcPr>
            <w:tcW w:w="5835" w:type="dxa"/>
            <w:vAlign w:val="center"/>
          </w:tcPr>
          <w:p w14:paraId="11E65A37">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建设收储加工中心1个，草谷比、可收集系数和还田监测</w:t>
            </w:r>
          </w:p>
        </w:tc>
      </w:tr>
      <w:tr w14:paraId="71050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shd w:val="clear" w:color="auto" w:fill="auto"/>
            <w:vAlign w:val="center"/>
          </w:tcPr>
          <w:p w14:paraId="61DE94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26</w:t>
            </w:r>
          </w:p>
        </w:tc>
        <w:tc>
          <w:tcPr>
            <w:tcW w:w="2190" w:type="dxa"/>
            <w:vAlign w:val="center"/>
          </w:tcPr>
          <w:p w14:paraId="0BC8F01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i w:val="0"/>
                <w:iCs w:val="0"/>
                <w:color w:val="000000"/>
                <w:spacing w:val="0"/>
                <w:kern w:val="0"/>
                <w:position w:val="0"/>
                <w:sz w:val="32"/>
                <w:szCs w:val="32"/>
                <w:highlight w:val="none"/>
                <w:u w:val="none"/>
                <w:lang w:val="en-US" w:eastAsia="zh-CN" w:bidi="ar"/>
              </w:rPr>
              <w:t>前 郭 县</w:t>
            </w:r>
          </w:p>
        </w:tc>
        <w:tc>
          <w:tcPr>
            <w:tcW w:w="5835" w:type="dxa"/>
            <w:vAlign w:val="center"/>
          </w:tcPr>
          <w:p w14:paraId="62EEB5D1">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草谷比、可收集系数和还田监测</w:t>
            </w:r>
          </w:p>
        </w:tc>
      </w:tr>
      <w:tr w14:paraId="749DF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shd w:val="clear" w:color="auto" w:fill="auto"/>
            <w:vAlign w:val="center"/>
          </w:tcPr>
          <w:p w14:paraId="4F9228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27</w:t>
            </w:r>
          </w:p>
        </w:tc>
        <w:tc>
          <w:tcPr>
            <w:tcW w:w="2190" w:type="dxa"/>
            <w:vAlign w:val="center"/>
          </w:tcPr>
          <w:p w14:paraId="7FCD3DC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i w:val="0"/>
                <w:iCs w:val="0"/>
                <w:color w:val="000000"/>
                <w:spacing w:val="0"/>
                <w:kern w:val="0"/>
                <w:position w:val="0"/>
                <w:sz w:val="32"/>
                <w:szCs w:val="32"/>
                <w:highlight w:val="none"/>
                <w:u w:val="none"/>
                <w:lang w:val="en-US" w:eastAsia="zh-CN" w:bidi="ar"/>
              </w:rPr>
              <w:t>长 岭 县</w:t>
            </w:r>
          </w:p>
        </w:tc>
        <w:tc>
          <w:tcPr>
            <w:tcW w:w="5835" w:type="dxa"/>
            <w:vAlign w:val="center"/>
          </w:tcPr>
          <w:p w14:paraId="1E8AFC5D">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建设收储加工中心1个，草谷比、可收集系数和还田监测</w:t>
            </w:r>
          </w:p>
        </w:tc>
      </w:tr>
      <w:tr w14:paraId="51FA4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shd w:val="clear" w:color="auto" w:fill="auto"/>
            <w:vAlign w:val="center"/>
          </w:tcPr>
          <w:p w14:paraId="594E4D7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28</w:t>
            </w:r>
          </w:p>
        </w:tc>
        <w:tc>
          <w:tcPr>
            <w:tcW w:w="2190" w:type="dxa"/>
            <w:vAlign w:val="center"/>
          </w:tcPr>
          <w:p w14:paraId="36FFF93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i w:val="0"/>
                <w:iCs w:val="0"/>
                <w:color w:val="000000"/>
                <w:spacing w:val="0"/>
                <w:kern w:val="0"/>
                <w:position w:val="0"/>
                <w:sz w:val="32"/>
                <w:szCs w:val="32"/>
                <w:highlight w:val="none"/>
                <w:u w:val="none"/>
                <w:lang w:val="en-US" w:eastAsia="zh-CN" w:bidi="ar"/>
              </w:rPr>
              <w:t>乾 安 县</w:t>
            </w:r>
          </w:p>
        </w:tc>
        <w:tc>
          <w:tcPr>
            <w:tcW w:w="5835" w:type="dxa"/>
            <w:vAlign w:val="center"/>
          </w:tcPr>
          <w:p w14:paraId="4768D7EC">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建设收储加工中心1个，草谷比、可收集系数和还田监测</w:t>
            </w:r>
          </w:p>
        </w:tc>
      </w:tr>
      <w:tr w14:paraId="05978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shd w:val="clear" w:color="auto" w:fill="auto"/>
            <w:vAlign w:val="center"/>
          </w:tcPr>
          <w:p w14:paraId="60D6A0A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29</w:t>
            </w:r>
          </w:p>
        </w:tc>
        <w:tc>
          <w:tcPr>
            <w:tcW w:w="2190" w:type="dxa"/>
            <w:vAlign w:val="center"/>
          </w:tcPr>
          <w:p w14:paraId="1AB00B6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i w:val="0"/>
                <w:iCs w:val="0"/>
                <w:color w:val="000000"/>
                <w:spacing w:val="0"/>
                <w:kern w:val="0"/>
                <w:position w:val="0"/>
                <w:sz w:val="32"/>
                <w:szCs w:val="32"/>
                <w:highlight w:val="none"/>
                <w:u w:val="none"/>
                <w:lang w:val="en-US" w:eastAsia="zh-CN" w:bidi="ar"/>
              </w:rPr>
              <w:t>扶 余 市</w:t>
            </w:r>
          </w:p>
        </w:tc>
        <w:tc>
          <w:tcPr>
            <w:tcW w:w="5835" w:type="dxa"/>
            <w:vAlign w:val="center"/>
          </w:tcPr>
          <w:p w14:paraId="0D5ACC1D">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建设收储加工中心1个，草谷比、可收集系数和还田监测</w:t>
            </w:r>
          </w:p>
        </w:tc>
      </w:tr>
      <w:tr w14:paraId="3EBF9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shd w:val="clear" w:color="auto" w:fill="auto"/>
            <w:vAlign w:val="center"/>
          </w:tcPr>
          <w:p w14:paraId="26ED649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30</w:t>
            </w:r>
          </w:p>
        </w:tc>
        <w:tc>
          <w:tcPr>
            <w:tcW w:w="2190" w:type="dxa"/>
            <w:vAlign w:val="center"/>
          </w:tcPr>
          <w:p w14:paraId="2D64F96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i w:val="0"/>
                <w:iCs w:val="0"/>
                <w:color w:val="000000"/>
                <w:spacing w:val="0"/>
                <w:kern w:val="0"/>
                <w:position w:val="0"/>
                <w:sz w:val="32"/>
                <w:szCs w:val="32"/>
                <w:highlight w:val="none"/>
                <w:u w:val="none"/>
                <w:lang w:val="en-US" w:eastAsia="zh-CN" w:bidi="ar"/>
              </w:rPr>
              <w:t>敦 化 市</w:t>
            </w:r>
          </w:p>
        </w:tc>
        <w:tc>
          <w:tcPr>
            <w:tcW w:w="5835" w:type="dxa"/>
            <w:vAlign w:val="center"/>
          </w:tcPr>
          <w:p w14:paraId="2A68E709">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草谷比、可收集系数和还田监测</w:t>
            </w:r>
          </w:p>
        </w:tc>
      </w:tr>
      <w:tr w14:paraId="135EB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Align w:val="center"/>
          </w:tcPr>
          <w:p w14:paraId="13807E1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auto"/>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auto"/>
                <w:spacing w:val="0"/>
                <w:kern w:val="0"/>
                <w:position w:val="0"/>
                <w:sz w:val="32"/>
                <w:szCs w:val="32"/>
                <w:highlight w:val="none"/>
                <w:vertAlign w:val="baseline"/>
                <w:lang w:val="en-US" w:eastAsia="zh-CN" w:bidi="ar"/>
              </w:rPr>
              <w:t>3</w:t>
            </w:r>
            <w:r>
              <w:rPr>
                <w:rFonts w:hint="default" w:ascii="Times New Roman" w:hAnsi="Times New Roman" w:eastAsia="仿宋_GB2312" w:cs="Times New Roman"/>
                <w:b w:val="0"/>
                <w:bCs w:val="0"/>
                <w:color w:val="auto"/>
                <w:spacing w:val="0"/>
                <w:kern w:val="0"/>
                <w:position w:val="0"/>
                <w:sz w:val="32"/>
                <w:szCs w:val="32"/>
                <w:highlight w:val="none"/>
                <w:vertAlign w:val="baseline"/>
                <w:lang w:val="en-US" w:eastAsia="zh-CN" w:bidi="ar"/>
              </w:rPr>
              <w:t>1</w:t>
            </w:r>
          </w:p>
        </w:tc>
        <w:tc>
          <w:tcPr>
            <w:tcW w:w="2190" w:type="dxa"/>
            <w:vAlign w:val="center"/>
          </w:tcPr>
          <w:p w14:paraId="4ED39F0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auto"/>
                <w:spacing w:val="0"/>
                <w:kern w:val="0"/>
                <w:position w:val="0"/>
                <w:sz w:val="32"/>
                <w:szCs w:val="32"/>
                <w:highlight w:val="none"/>
                <w:vertAlign w:val="baseline"/>
                <w:lang w:val="en-US" w:eastAsia="zh-CN" w:bidi="ar"/>
              </w:rPr>
            </w:pPr>
            <w:r>
              <w:rPr>
                <w:rFonts w:hint="default" w:ascii="Times New Roman" w:hAnsi="Times New Roman" w:eastAsia="仿宋_GB2312" w:cs="Times New Roman"/>
                <w:i w:val="0"/>
                <w:iCs w:val="0"/>
                <w:color w:val="auto"/>
                <w:spacing w:val="0"/>
                <w:kern w:val="0"/>
                <w:position w:val="0"/>
                <w:sz w:val="32"/>
                <w:szCs w:val="32"/>
                <w:highlight w:val="none"/>
                <w:u w:val="none"/>
                <w:lang w:val="en-US" w:eastAsia="zh-CN" w:bidi="ar"/>
              </w:rPr>
              <w:t>汪 清 县</w:t>
            </w:r>
          </w:p>
        </w:tc>
        <w:tc>
          <w:tcPr>
            <w:tcW w:w="5835" w:type="dxa"/>
            <w:vAlign w:val="center"/>
          </w:tcPr>
          <w:p w14:paraId="1BB06DBC">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auto"/>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auto"/>
                <w:spacing w:val="0"/>
                <w:kern w:val="0"/>
                <w:position w:val="0"/>
                <w:sz w:val="32"/>
                <w:szCs w:val="32"/>
                <w:highlight w:val="none"/>
                <w:vertAlign w:val="baseline"/>
                <w:lang w:val="en-US" w:eastAsia="zh-CN" w:bidi="ar"/>
              </w:rPr>
              <w:t>饲料化模式总结，草谷比、可收集系数和还田监测</w:t>
            </w:r>
          </w:p>
        </w:tc>
      </w:tr>
      <w:tr w14:paraId="620C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4" w:type="dxa"/>
            <w:vAlign w:val="center"/>
          </w:tcPr>
          <w:p w14:paraId="45434D7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3</w:t>
            </w: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2</w:t>
            </w:r>
          </w:p>
        </w:tc>
        <w:tc>
          <w:tcPr>
            <w:tcW w:w="2190" w:type="dxa"/>
            <w:vAlign w:val="center"/>
          </w:tcPr>
          <w:p w14:paraId="5A9AE01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i w:val="0"/>
                <w:iCs w:val="0"/>
                <w:color w:val="000000"/>
                <w:spacing w:val="0"/>
                <w:kern w:val="0"/>
                <w:position w:val="0"/>
                <w:sz w:val="32"/>
                <w:szCs w:val="32"/>
                <w:highlight w:val="none"/>
                <w:u w:val="none"/>
                <w:lang w:val="en-US" w:eastAsia="zh-CN" w:bidi="ar"/>
              </w:rPr>
              <w:t>梅河口市</w:t>
            </w:r>
          </w:p>
        </w:tc>
        <w:tc>
          <w:tcPr>
            <w:tcW w:w="5835" w:type="dxa"/>
            <w:vAlign w:val="center"/>
          </w:tcPr>
          <w:p w14:paraId="6A5D7085">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pPr>
            <w:r>
              <w:rPr>
                <w:rFonts w:hint="default" w:ascii="Times New Roman" w:hAnsi="Times New Roman" w:eastAsia="仿宋_GB2312" w:cs="Times New Roman"/>
                <w:b w:val="0"/>
                <w:bCs w:val="0"/>
                <w:color w:val="000000"/>
                <w:spacing w:val="0"/>
                <w:kern w:val="0"/>
                <w:position w:val="0"/>
                <w:sz w:val="32"/>
                <w:szCs w:val="32"/>
                <w:highlight w:val="none"/>
                <w:vertAlign w:val="baseline"/>
                <w:lang w:val="en-US" w:eastAsia="zh-CN" w:bidi="ar"/>
              </w:rPr>
              <w:t>建设收储加工中心1个，草谷比、可收集系数和还田监测</w:t>
            </w:r>
          </w:p>
        </w:tc>
      </w:tr>
    </w:tbl>
    <w:p w14:paraId="2A6EB1A0">
      <w:pPr>
        <w:rPr>
          <w:rFonts w:hint="default" w:ascii="Times New Roman" w:hAnsi="Times New Roman" w:eastAsia="黑体" w:cs="Times New Roman"/>
          <w:spacing w:val="0"/>
          <w:kern w:val="0"/>
          <w:position w:val="0"/>
          <w:sz w:val="32"/>
          <w:szCs w:val="32"/>
          <w:highlight w:val="none"/>
          <w:lang w:val="en-US" w:eastAsia="zh-CN"/>
        </w:rPr>
      </w:pPr>
      <w:r>
        <w:rPr>
          <w:rFonts w:hint="default" w:ascii="Times New Roman" w:hAnsi="Times New Roman" w:eastAsia="黑体" w:cs="Times New Roman"/>
          <w:spacing w:val="0"/>
          <w:kern w:val="0"/>
          <w:position w:val="0"/>
          <w:sz w:val="32"/>
          <w:szCs w:val="32"/>
          <w:highlight w:val="none"/>
          <w:lang w:val="en-US" w:eastAsia="zh-CN"/>
        </w:rPr>
        <w:br w:type="page"/>
      </w:r>
    </w:p>
    <w:p w14:paraId="0F85321B">
      <w:pPr>
        <w:keepNext w:val="0"/>
        <w:keepLines w:val="0"/>
        <w:pageBreakBefore w:val="0"/>
        <w:widowControl w:val="0"/>
        <w:tabs>
          <w:tab w:val="left" w:pos="331"/>
          <w:tab w:val="left" w:pos="541"/>
        </w:tabs>
        <w:kinsoku/>
        <w:wordWrap/>
        <w:overflowPunct/>
        <w:topLinePunct w:val="0"/>
        <w:autoSpaceDE/>
        <w:autoSpaceDN/>
        <w:bidi w:val="0"/>
        <w:adjustRightInd w:val="0"/>
        <w:snapToGrid w:val="0"/>
        <w:spacing w:line="240" w:lineRule="auto"/>
        <w:jc w:val="both"/>
        <w:textAlignment w:val="auto"/>
        <w:rPr>
          <w:rFonts w:hint="default" w:ascii="Times New Roman" w:hAnsi="Times New Roman" w:eastAsia="黑体" w:cs="Times New Roman"/>
          <w:spacing w:val="0"/>
          <w:kern w:val="0"/>
          <w:position w:val="0"/>
          <w:sz w:val="32"/>
          <w:szCs w:val="32"/>
          <w:highlight w:val="none"/>
          <w:lang w:val="en-US" w:eastAsia="zh-CN"/>
        </w:rPr>
      </w:pPr>
      <w:r>
        <w:rPr>
          <w:rFonts w:hint="default" w:ascii="Times New Roman" w:hAnsi="Times New Roman" w:eastAsia="黑体" w:cs="Times New Roman"/>
          <w:spacing w:val="0"/>
          <w:kern w:val="0"/>
          <w:position w:val="0"/>
          <w:sz w:val="32"/>
          <w:szCs w:val="32"/>
          <w:highlight w:val="none"/>
          <w:lang w:val="en-US" w:eastAsia="zh-CN"/>
        </w:rPr>
        <w:t>附件2</w:t>
      </w:r>
    </w:p>
    <w:p w14:paraId="5D4DD7C2">
      <w:pPr>
        <w:keepNext w:val="0"/>
        <w:keepLines w:val="0"/>
        <w:pageBreakBefore w:val="0"/>
        <w:widowControl w:val="0"/>
        <w:tabs>
          <w:tab w:val="left" w:pos="331"/>
          <w:tab w:val="left" w:pos="541"/>
        </w:tabs>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小标宋_GBK" w:cs="Times New Roman"/>
          <w:spacing w:val="0"/>
          <w:kern w:val="0"/>
          <w:position w:val="0"/>
          <w:sz w:val="44"/>
          <w:szCs w:val="44"/>
          <w:highlight w:val="none"/>
          <w:lang w:val="en-US" w:eastAsia="zh-CN"/>
        </w:rPr>
      </w:pPr>
      <w:r>
        <w:rPr>
          <w:rFonts w:hint="default" w:ascii="Times New Roman" w:hAnsi="Times New Roman" w:eastAsia="方正小标宋_GBK" w:cs="Times New Roman"/>
          <w:spacing w:val="0"/>
          <w:kern w:val="0"/>
          <w:position w:val="0"/>
          <w:sz w:val="44"/>
          <w:szCs w:val="44"/>
          <w:highlight w:val="none"/>
          <w:lang w:val="en-US" w:eastAsia="zh-CN"/>
        </w:rPr>
        <w:t>2026年还田监测对接</w:t>
      </w:r>
      <w:r>
        <w:rPr>
          <w:rFonts w:hint="default" w:ascii="Times New Roman" w:hAnsi="Times New Roman" w:eastAsia="方正小标宋_GBK" w:cs="Times New Roman"/>
          <w:spacing w:val="0"/>
          <w:kern w:val="0"/>
          <w:position w:val="0"/>
          <w:sz w:val="44"/>
          <w:szCs w:val="44"/>
          <w:highlight w:val="none"/>
          <w:lang w:val="en-US" w:eastAsia="zh-CN"/>
        </w:rPr>
        <w:t>团队</w:t>
      </w:r>
      <w:r>
        <w:rPr>
          <w:rFonts w:hint="default" w:ascii="Times New Roman" w:hAnsi="Times New Roman" w:eastAsia="方正小标宋_GBK" w:cs="Times New Roman"/>
          <w:spacing w:val="0"/>
          <w:kern w:val="0"/>
          <w:position w:val="0"/>
          <w:sz w:val="44"/>
          <w:szCs w:val="44"/>
          <w:highlight w:val="none"/>
          <w:lang w:val="en-US" w:eastAsia="zh-CN"/>
        </w:rPr>
        <w:t>信息</w:t>
      </w:r>
    </w:p>
    <w:tbl>
      <w:tblPr>
        <w:tblStyle w:val="7"/>
        <w:tblpPr w:leftFromText="180" w:rightFromText="180" w:vertAnchor="text" w:horzAnchor="page" w:tblpX="1482" w:tblpY="601"/>
        <w:tblOverlap w:val="never"/>
        <w:tblW w:w="94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220"/>
        <w:gridCol w:w="2220"/>
        <w:gridCol w:w="5010"/>
      </w:tblGrid>
      <w:tr w14:paraId="46D448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413E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b/>
                <w:bCs/>
                <w:i w:val="0"/>
                <w:iCs w:val="0"/>
                <w:color w:val="000000"/>
                <w:spacing w:val="0"/>
                <w:kern w:val="0"/>
                <w:position w:val="0"/>
                <w:sz w:val="21"/>
                <w:szCs w:val="21"/>
                <w:highlight w:val="none"/>
                <w:u w:val="none"/>
              </w:rPr>
            </w:pPr>
            <w:r>
              <w:rPr>
                <w:rFonts w:hint="default" w:ascii="Times New Roman" w:hAnsi="Times New Roman" w:eastAsia="黑体" w:cs="Times New Roman"/>
                <w:b/>
                <w:bCs/>
                <w:i w:val="0"/>
                <w:iCs w:val="0"/>
                <w:color w:val="000000"/>
                <w:spacing w:val="0"/>
                <w:kern w:val="0"/>
                <w:position w:val="0"/>
                <w:sz w:val="21"/>
                <w:szCs w:val="21"/>
                <w:highlight w:val="none"/>
                <w:u w:val="none"/>
                <w:lang w:val="en-US" w:eastAsia="zh-CN" w:bidi="ar"/>
              </w:rPr>
              <w:t>市（州）</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F77A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b/>
                <w:bCs/>
                <w:i w:val="0"/>
                <w:iCs w:val="0"/>
                <w:color w:val="000000"/>
                <w:spacing w:val="0"/>
                <w:kern w:val="0"/>
                <w:position w:val="0"/>
                <w:sz w:val="21"/>
                <w:szCs w:val="21"/>
                <w:highlight w:val="none"/>
                <w:u w:val="none"/>
              </w:rPr>
            </w:pPr>
            <w:r>
              <w:rPr>
                <w:rFonts w:hint="default" w:ascii="Times New Roman" w:hAnsi="Times New Roman" w:eastAsia="黑体" w:cs="Times New Roman"/>
                <w:b/>
                <w:bCs/>
                <w:i w:val="0"/>
                <w:iCs w:val="0"/>
                <w:color w:val="000000"/>
                <w:spacing w:val="0"/>
                <w:kern w:val="0"/>
                <w:position w:val="0"/>
                <w:sz w:val="21"/>
                <w:szCs w:val="21"/>
                <w:highlight w:val="none"/>
                <w:u w:val="none"/>
                <w:lang w:val="en-US" w:eastAsia="zh-CN" w:bidi="ar"/>
              </w:rPr>
              <w:t>秸秆重点县</w:t>
            </w:r>
          </w:p>
        </w:tc>
        <w:tc>
          <w:tcPr>
            <w:tcW w:w="5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58E5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b/>
                <w:bCs/>
                <w:i w:val="0"/>
                <w:iCs w:val="0"/>
                <w:color w:val="000000"/>
                <w:spacing w:val="0"/>
                <w:kern w:val="0"/>
                <w:position w:val="0"/>
                <w:sz w:val="21"/>
                <w:szCs w:val="21"/>
                <w:highlight w:val="none"/>
                <w:u w:val="none"/>
              </w:rPr>
            </w:pPr>
            <w:r>
              <w:rPr>
                <w:rFonts w:hint="default" w:ascii="Times New Roman" w:hAnsi="Times New Roman" w:eastAsia="黑体" w:cs="Times New Roman"/>
                <w:b/>
                <w:bCs/>
                <w:i w:val="0"/>
                <w:iCs w:val="0"/>
                <w:color w:val="000000"/>
                <w:spacing w:val="0"/>
                <w:kern w:val="0"/>
                <w:position w:val="0"/>
                <w:sz w:val="21"/>
                <w:szCs w:val="21"/>
                <w:highlight w:val="none"/>
                <w:u w:val="none"/>
                <w:lang w:val="en-US" w:eastAsia="zh-CN" w:bidi="ar"/>
              </w:rPr>
              <w:t>负</w:t>
            </w:r>
            <w:r>
              <w:rPr>
                <w:rFonts w:hint="default" w:ascii="Times New Roman" w:hAnsi="Times New Roman" w:eastAsia="黑体" w:cs="Times New Roman"/>
                <w:b/>
                <w:bCs/>
                <w:color w:val="000000"/>
                <w:spacing w:val="0"/>
                <w:kern w:val="0"/>
                <w:position w:val="0"/>
                <w:szCs w:val="21"/>
                <w:highlight w:val="none"/>
                <w:u w:val="none"/>
                <w:lang w:val="en-US" w:eastAsia="zh-CN" w:bidi="ar"/>
              </w:rPr>
              <w:t>责团队</w:t>
            </w:r>
          </w:p>
        </w:tc>
      </w:tr>
      <w:tr w14:paraId="27ECB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27369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长春市</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912D5">
            <w:pPr>
              <w:keepNext w:val="0"/>
              <w:keepLines w:val="0"/>
              <w:pageBreakBefore w:val="0"/>
              <w:widowControl w:val="0"/>
              <w:suppressLineNumbers w:val="0"/>
              <w:kinsoku/>
              <w:wordWrap/>
              <w:overflowPunct/>
              <w:topLinePunct w:val="0"/>
              <w:autoSpaceDE w:val="0"/>
              <w:autoSpaceDN w:val="0"/>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农安县</w:t>
            </w:r>
          </w:p>
        </w:tc>
        <w:tc>
          <w:tcPr>
            <w:tcW w:w="5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51AA0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lang w:val="en-US"/>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吉林省农业科学院</w:t>
            </w: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br w:type="textWrapping"/>
            </w: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具体负责人：刘剑钊15904429035</w:t>
            </w:r>
          </w:p>
        </w:tc>
      </w:tr>
      <w:tr w14:paraId="1282F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6A0BE">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6AA69">
            <w:pPr>
              <w:keepNext w:val="0"/>
              <w:keepLines w:val="0"/>
              <w:pageBreakBefore w:val="0"/>
              <w:widowControl w:val="0"/>
              <w:suppressLineNumbers w:val="0"/>
              <w:kinsoku/>
              <w:wordWrap/>
              <w:overflowPunct/>
              <w:topLinePunct w:val="0"/>
              <w:autoSpaceDE w:val="0"/>
              <w:autoSpaceDN w:val="0"/>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榆树市</w:t>
            </w:r>
          </w:p>
        </w:tc>
        <w:tc>
          <w:tcPr>
            <w:tcW w:w="5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909AFD">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r>
      <w:tr w14:paraId="1E6DA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3DB5EA">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F38D6">
            <w:pPr>
              <w:keepNext w:val="0"/>
              <w:keepLines w:val="0"/>
              <w:pageBreakBefore w:val="0"/>
              <w:widowControl w:val="0"/>
              <w:suppressLineNumbers w:val="0"/>
              <w:kinsoku/>
              <w:wordWrap/>
              <w:overflowPunct/>
              <w:topLinePunct w:val="0"/>
              <w:autoSpaceDE w:val="0"/>
              <w:autoSpaceDN w:val="0"/>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公主岭</w:t>
            </w:r>
          </w:p>
        </w:tc>
        <w:tc>
          <w:tcPr>
            <w:tcW w:w="5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6016F9">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r>
      <w:tr w14:paraId="45E03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92CDE6">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BE169">
            <w:pPr>
              <w:keepNext w:val="0"/>
              <w:keepLines w:val="0"/>
              <w:pageBreakBefore w:val="0"/>
              <w:widowControl w:val="0"/>
              <w:suppressLineNumbers w:val="0"/>
              <w:kinsoku/>
              <w:wordWrap/>
              <w:overflowPunct/>
              <w:topLinePunct w:val="0"/>
              <w:autoSpaceDE w:val="0"/>
              <w:autoSpaceDN w:val="0"/>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双阳区</w:t>
            </w:r>
          </w:p>
        </w:tc>
        <w:tc>
          <w:tcPr>
            <w:tcW w:w="5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4BE1B8">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r>
      <w:tr w14:paraId="12F56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CA155">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2B4AA">
            <w:pPr>
              <w:keepNext w:val="0"/>
              <w:keepLines w:val="0"/>
              <w:pageBreakBefore w:val="0"/>
              <w:widowControl w:val="0"/>
              <w:suppressLineNumbers w:val="0"/>
              <w:kinsoku/>
              <w:wordWrap/>
              <w:overflowPunct/>
              <w:topLinePunct w:val="0"/>
              <w:autoSpaceDE w:val="0"/>
              <w:autoSpaceDN w:val="0"/>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德惠市</w:t>
            </w:r>
          </w:p>
        </w:tc>
        <w:tc>
          <w:tcPr>
            <w:tcW w:w="5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114E46">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r>
      <w:tr w14:paraId="1AB2F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357B7">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4DFE6">
            <w:pPr>
              <w:keepNext w:val="0"/>
              <w:keepLines w:val="0"/>
              <w:pageBreakBefore w:val="0"/>
              <w:widowControl w:val="0"/>
              <w:suppressLineNumbers w:val="0"/>
              <w:kinsoku/>
              <w:wordWrap/>
              <w:overflowPunct/>
              <w:topLinePunct w:val="0"/>
              <w:autoSpaceDE w:val="0"/>
              <w:autoSpaceDN w:val="0"/>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九台区</w:t>
            </w:r>
          </w:p>
        </w:tc>
        <w:tc>
          <w:tcPr>
            <w:tcW w:w="5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48A50C">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r>
      <w:tr w14:paraId="2F479B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FFCD3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吉林市</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BBE7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昌邑区</w:t>
            </w:r>
          </w:p>
        </w:tc>
        <w:tc>
          <w:tcPr>
            <w:tcW w:w="5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D3EDA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吉林农业科技学院</w:t>
            </w: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br w:type="textWrapping"/>
            </w: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具体负责人：潘业兴13596266891</w:t>
            </w:r>
          </w:p>
        </w:tc>
      </w:tr>
      <w:tr w14:paraId="4444F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93344">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D1C3A">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永吉县</w:t>
            </w:r>
          </w:p>
        </w:tc>
        <w:tc>
          <w:tcPr>
            <w:tcW w:w="5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DD7E6">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r>
      <w:tr w14:paraId="68E18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0F4BE4">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1714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磐石市</w:t>
            </w:r>
          </w:p>
        </w:tc>
        <w:tc>
          <w:tcPr>
            <w:tcW w:w="5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083BD4">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r>
      <w:tr w14:paraId="160B7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7F2078">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B990B">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舒兰市</w:t>
            </w:r>
          </w:p>
        </w:tc>
        <w:tc>
          <w:tcPr>
            <w:tcW w:w="5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50F7AB">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r>
      <w:tr w14:paraId="3EEE8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574E3">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873B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蛟河市</w:t>
            </w:r>
          </w:p>
        </w:tc>
        <w:tc>
          <w:tcPr>
            <w:tcW w:w="5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157351">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r>
      <w:tr w14:paraId="5D3DC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C61BB9">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17F9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桦甸市</w:t>
            </w:r>
          </w:p>
        </w:tc>
        <w:tc>
          <w:tcPr>
            <w:tcW w:w="5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1E0B21">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r>
      <w:tr w14:paraId="34477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CD59C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四平市</w:t>
            </w: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E959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梨树县</w:t>
            </w:r>
          </w:p>
        </w:tc>
        <w:tc>
          <w:tcPr>
            <w:tcW w:w="5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DC881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中国科学院东北地理与农业生态研究所</w:t>
            </w: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br w:type="textWrapping"/>
            </w: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具体负责人：敖曼15500017304</w:t>
            </w:r>
          </w:p>
        </w:tc>
      </w:tr>
      <w:tr w14:paraId="469E1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BE46B1">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2AAF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伊通县</w:t>
            </w:r>
          </w:p>
        </w:tc>
        <w:tc>
          <w:tcPr>
            <w:tcW w:w="5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97322B">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r>
      <w:tr w14:paraId="32D3C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525BE6">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0B0BE">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双辽市</w:t>
            </w:r>
          </w:p>
        </w:tc>
        <w:tc>
          <w:tcPr>
            <w:tcW w:w="5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E4B102">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r>
      <w:tr w14:paraId="383B1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3C2678">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辽源市</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F556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东丰县</w:t>
            </w:r>
          </w:p>
        </w:tc>
        <w:tc>
          <w:tcPr>
            <w:tcW w:w="5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A341B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吉林省农业科学院</w:t>
            </w: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br w:type="textWrapping"/>
            </w: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具体负责人：郑金玉15844052867</w:t>
            </w:r>
          </w:p>
        </w:tc>
      </w:tr>
      <w:tr w14:paraId="4C4B2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2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B08543">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C711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东辽县</w:t>
            </w:r>
          </w:p>
        </w:tc>
        <w:tc>
          <w:tcPr>
            <w:tcW w:w="5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B9D271">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r>
      <w:tr w14:paraId="66796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F1685F">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通化市</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6101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柳河县</w:t>
            </w:r>
          </w:p>
        </w:tc>
        <w:tc>
          <w:tcPr>
            <w:tcW w:w="5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02EA4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吉林大学</w:t>
            </w: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br w:type="textWrapping"/>
            </w: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具体负责人：刘金亮13756033861</w:t>
            </w:r>
          </w:p>
        </w:tc>
      </w:tr>
      <w:tr w14:paraId="7209CD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2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A56EEB">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5469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辉南县</w:t>
            </w:r>
          </w:p>
        </w:tc>
        <w:tc>
          <w:tcPr>
            <w:tcW w:w="5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4BF27E">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r>
      <w:tr w14:paraId="1EE39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44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5EBAE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梅河口市</w:t>
            </w:r>
          </w:p>
        </w:tc>
        <w:tc>
          <w:tcPr>
            <w:tcW w:w="5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7B8536">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r>
      <w:tr w14:paraId="13B57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22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671CD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白城市</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6AA3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洮北区</w:t>
            </w:r>
          </w:p>
        </w:tc>
        <w:tc>
          <w:tcPr>
            <w:tcW w:w="50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C142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农业农村部环境保护科研监测所</w:t>
            </w: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br w:type="textWrapping"/>
            </w: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具体负责人：徐艳18622137520</w:t>
            </w:r>
          </w:p>
        </w:tc>
      </w:tr>
      <w:tr w14:paraId="367B08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72C286">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D6F6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洮南市</w:t>
            </w:r>
          </w:p>
        </w:tc>
        <w:tc>
          <w:tcPr>
            <w:tcW w:w="5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B1DBA3">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吉林大学</w:t>
            </w: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br w:type="textWrapping"/>
            </w: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具体负责人：刘金亮13756033861</w:t>
            </w:r>
          </w:p>
        </w:tc>
      </w:tr>
      <w:tr w14:paraId="085E4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1894AF">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AF1D9">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大安市</w:t>
            </w:r>
          </w:p>
        </w:tc>
        <w:tc>
          <w:tcPr>
            <w:tcW w:w="5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AAAC17">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r>
      <w:tr w14:paraId="2354E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3F8310">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E4D7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通榆县</w:t>
            </w:r>
          </w:p>
        </w:tc>
        <w:tc>
          <w:tcPr>
            <w:tcW w:w="5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38AD36">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r>
      <w:tr w14:paraId="47DE9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31A795">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2A3C1">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镇赉县</w:t>
            </w:r>
          </w:p>
        </w:tc>
        <w:tc>
          <w:tcPr>
            <w:tcW w:w="5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36D8EA">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r>
      <w:tr w14:paraId="42C06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3AC3A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松原市</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32FD5">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宁江区</w:t>
            </w:r>
          </w:p>
        </w:tc>
        <w:tc>
          <w:tcPr>
            <w:tcW w:w="5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487F47">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吉林省农业大学</w:t>
            </w: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br w:type="textWrapping"/>
            </w: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具体负责人：张斯童18943132269</w:t>
            </w:r>
          </w:p>
        </w:tc>
      </w:tr>
      <w:tr w14:paraId="43547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7245F">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5CA6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前郭县</w:t>
            </w:r>
          </w:p>
        </w:tc>
        <w:tc>
          <w:tcPr>
            <w:tcW w:w="5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420ABD">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r>
      <w:tr w14:paraId="704C3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3A24CE">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B9A54">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扶余市</w:t>
            </w:r>
          </w:p>
        </w:tc>
        <w:tc>
          <w:tcPr>
            <w:tcW w:w="5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A8817B">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r>
      <w:tr w14:paraId="178AA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D9E23C">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8D841">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长岭县</w:t>
            </w:r>
          </w:p>
        </w:tc>
        <w:tc>
          <w:tcPr>
            <w:tcW w:w="5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42A6F">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r>
      <w:tr w14:paraId="3528D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D88742">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9BC8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乾安县</w:t>
            </w:r>
          </w:p>
        </w:tc>
        <w:tc>
          <w:tcPr>
            <w:tcW w:w="5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20E4B7">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r>
      <w:tr w14:paraId="19CC9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F4F492">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延边州</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ADD4C">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敦化市</w:t>
            </w:r>
          </w:p>
        </w:tc>
        <w:tc>
          <w:tcPr>
            <w:tcW w:w="50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76C54E">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吉林省农业科学院</w:t>
            </w: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br w:type="textWrapping"/>
            </w: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具体负责人：赵洪祥15567209900</w:t>
            </w:r>
          </w:p>
        </w:tc>
      </w:tr>
      <w:tr w14:paraId="61797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2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F35C1">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CC770">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r>
              <w:rPr>
                <w:rFonts w:hint="default" w:ascii="Times New Roman" w:hAnsi="Times New Roman" w:eastAsia="黑体" w:cs="Times New Roman"/>
                <w:i w:val="0"/>
                <w:iCs w:val="0"/>
                <w:color w:val="000000"/>
                <w:spacing w:val="0"/>
                <w:kern w:val="0"/>
                <w:position w:val="0"/>
                <w:sz w:val="22"/>
                <w:szCs w:val="22"/>
                <w:highlight w:val="none"/>
                <w:u w:val="none"/>
                <w:lang w:val="en-US" w:eastAsia="zh-CN" w:bidi="ar"/>
              </w:rPr>
              <w:t>汪清县</w:t>
            </w:r>
          </w:p>
        </w:tc>
        <w:tc>
          <w:tcPr>
            <w:tcW w:w="50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6E43BB">
            <w:pPr>
              <w:keepNext w:val="0"/>
              <w:keepLines w:val="0"/>
              <w:pageBreakBefore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黑体" w:cs="Times New Roman"/>
                <w:i w:val="0"/>
                <w:iCs w:val="0"/>
                <w:color w:val="000000"/>
                <w:spacing w:val="0"/>
                <w:kern w:val="0"/>
                <w:position w:val="0"/>
                <w:sz w:val="22"/>
                <w:szCs w:val="22"/>
                <w:highlight w:val="none"/>
                <w:u w:val="none"/>
              </w:rPr>
            </w:pPr>
          </w:p>
        </w:tc>
      </w:tr>
    </w:tbl>
    <w:p w14:paraId="6D883DE4">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bCs/>
          <w:color w:val="auto"/>
          <w:spacing w:val="0"/>
          <w:kern w:val="0"/>
          <w:position w:val="0"/>
          <w:sz w:val="32"/>
          <w:szCs w:val="32"/>
          <w:highlight w:val="none"/>
          <w:lang w:eastAsia="zh-CN"/>
        </w:rPr>
      </w:pPr>
    </w:p>
    <w:p w14:paraId="79349C1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pacing w:val="0"/>
          <w:kern w:val="0"/>
          <w:position w:val="0"/>
          <w:sz w:val="32"/>
          <w:szCs w:val="32"/>
          <w:highlight w:val="none"/>
        </w:rPr>
      </w:pPr>
    </w:p>
    <w:sectPr>
      <w:pgSz w:w="11906" w:h="16838"/>
      <w:pgMar w:top="1701" w:right="1417" w:bottom="1701" w:left="141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578B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6843FE">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B6843FE">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F25B9C"/>
    <w:rsid w:val="08BA7621"/>
    <w:rsid w:val="16C53F77"/>
    <w:rsid w:val="192B3278"/>
    <w:rsid w:val="1EE79111"/>
    <w:rsid w:val="2FF75A81"/>
    <w:rsid w:val="344D7F0F"/>
    <w:rsid w:val="36D0097B"/>
    <w:rsid w:val="3946636D"/>
    <w:rsid w:val="41FD00AC"/>
    <w:rsid w:val="44DC3ADC"/>
    <w:rsid w:val="50BF8902"/>
    <w:rsid w:val="537652DF"/>
    <w:rsid w:val="5410583D"/>
    <w:rsid w:val="568A2DC4"/>
    <w:rsid w:val="5C8C33FB"/>
    <w:rsid w:val="6061772C"/>
    <w:rsid w:val="62C11AFA"/>
    <w:rsid w:val="6592067E"/>
    <w:rsid w:val="65EB3645"/>
    <w:rsid w:val="6A467350"/>
    <w:rsid w:val="6AC034C0"/>
    <w:rsid w:val="6B6FFF54"/>
    <w:rsid w:val="79032F56"/>
    <w:rsid w:val="7AC96BBD"/>
    <w:rsid w:val="7D5173CE"/>
    <w:rsid w:val="7F682535"/>
    <w:rsid w:val="7F6DC138"/>
    <w:rsid w:val="7F7ECAFE"/>
    <w:rsid w:val="948E7326"/>
    <w:rsid w:val="B77DEF2D"/>
    <w:rsid w:val="BF37807B"/>
    <w:rsid w:val="D7CF4C02"/>
    <w:rsid w:val="DE6A6D30"/>
    <w:rsid w:val="ED6F31E2"/>
    <w:rsid w:val="ED9E8C07"/>
    <w:rsid w:val="EEFF777D"/>
    <w:rsid w:val="EFF75D44"/>
    <w:rsid w:val="FBECD31D"/>
    <w:rsid w:val="FD7D96BA"/>
    <w:rsid w:val="FFFF1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character" w:customStyle="1" w:styleId="11">
    <w:name w:val="font21"/>
    <w:basedOn w:val="9"/>
    <w:qFormat/>
    <w:uiPriority w:val="0"/>
    <w:rPr>
      <w:rFonts w:hint="eastAsia" w:ascii="宋体" w:hAnsi="宋体" w:eastAsia="宋体" w:cs="宋体"/>
      <w:color w:val="000000"/>
      <w:sz w:val="18"/>
      <w:szCs w:val="18"/>
      <w:u w:val="none"/>
    </w:rPr>
  </w:style>
  <w:style w:type="character" w:customStyle="1" w:styleId="12">
    <w:name w:val="font11"/>
    <w:basedOn w:val="9"/>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3285</Words>
  <Characters>3357</Characters>
  <Lines>0</Lines>
  <Paragraphs>0</Paragraphs>
  <TotalTime>35</TotalTime>
  <ScaleCrop>false</ScaleCrop>
  <LinksUpToDate>false</LinksUpToDate>
  <CharactersWithSpaces>3373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2026-05-18T07:38:00Z</dcterms:created>
  <dc:creator>焦帅</dc:creator>
  <cp:lastModifiedBy>yaya</cp:lastModifiedBy>
  <cp:lastPrinted>2026-06-17T00:27:00Z</cp:lastPrinted>
  <dcterms:modified xsi:type="dcterms:W3CDTF">2026-06-29T01:11:37Z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8A89EA2A6CB84E07992B6B02826FF2D9_12</vt:lpwstr>
  </property>
  <property fmtid="{D5CDD505-2E9C-101B-9397-08002B2CF9AE}" pid="4" name="KSOTemplateDocerSaveRecord">
    <vt:lpwstr>eyJoZGlkIjoiNzVkYTExOWEzNjQ0YTVkYjFmMTZlNzBlNzc3ZTM0NDEiLCJ1c2VySWQiOiIxMjExMzUyMjQ4In0=</vt:lpwstr>
  </property>
</Properties>
</file>