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EC0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附件1</w:t>
      </w:r>
    </w:p>
    <w:p w14:paraId="7FD1AA8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sz w:val="32"/>
          <w:szCs w:val="32"/>
          <w:lang w:val="en-US" w:eastAsia="zh-CN"/>
        </w:rPr>
      </w:pPr>
    </w:p>
    <w:p w14:paraId="540470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2025年度省级农产品产地环境监测</w:t>
      </w:r>
    </w:p>
    <w:p w14:paraId="783AB2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p>
    <w:p w14:paraId="53FE1A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p>
    <w:p w14:paraId="437E1C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highlight w:val="none"/>
          <w:lang w:val="en-US" w:eastAsia="zh-CN"/>
        </w:rPr>
        <w:t>为推动农业绿色发展和生态保护，提升全省农产品产地环境质量，依据农业农村部科学技术司、农业农村部农业生态与资源保护总站制定的《农业生态环境监测技术规范（试行）》监测方向和技术要点，制定2025年度省级农产品产地环境监测项目计划。</w:t>
      </w:r>
    </w:p>
    <w:p w14:paraId="347B56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主要方向</w:t>
      </w:r>
    </w:p>
    <w:p w14:paraId="520A39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sz w:val="32"/>
          <w:szCs w:val="32"/>
          <w:highlight w:val="none"/>
          <w:lang w:val="en-US" w:eastAsia="zh-CN"/>
        </w:rPr>
        <w:t>地膜残留监测调查与评估。</w:t>
      </w:r>
      <w:r>
        <w:rPr>
          <w:rFonts w:hint="eastAsia" w:ascii="Times New Roman" w:hAnsi="Times New Roman" w:eastAsia="仿宋_GB2312" w:cs="Times New Roman"/>
          <w:sz w:val="32"/>
          <w:szCs w:val="32"/>
          <w:highlight w:val="none"/>
          <w:lang w:val="en-US" w:eastAsia="zh-CN"/>
        </w:rPr>
        <w:t>在全省产粮大县、地膜使用集中地区布设监测点位，开展地膜残留监测，掌握全省地膜使用与回收情况。</w:t>
      </w:r>
      <w:r>
        <w:rPr>
          <w:rFonts w:hint="eastAsia" w:ascii="Times New Roman" w:hAnsi="Times New Roman" w:eastAsia="仿宋_GB2312" w:cs="Times New Roman"/>
          <w:b/>
          <w:bCs/>
          <w:sz w:val="32"/>
          <w:szCs w:val="32"/>
          <w:highlight w:val="none"/>
          <w:lang w:val="en-US" w:eastAsia="zh-CN"/>
        </w:rPr>
        <w:t>土壤和农产品协同监测。</w:t>
      </w:r>
      <w:r>
        <w:rPr>
          <w:rFonts w:hint="eastAsia" w:ascii="Times New Roman" w:hAnsi="Times New Roman" w:eastAsia="仿宋_GB2312" w:cs="Times New Roman"/>
          <w:sz w:val="32"/>
          <w:szCs w:val="32"/>
          <w:highlight w:val="none"/>
          <w:lang w:val="en-US" w:eastAsia="zh-CN"/>
        </w:rPr>
        <w:t>在全省耕地布设监测点位，开土壤和农产品协同监测，检测样品重金属含量，对土壤污染趋势和农产品质量安全及时进行风险预警。</w:t>
      </w:r>
      <w:r>
        <w:rPr>
          <w:rFonts w:hint="eastAsia" w:ascii="Times New Roman" w:hAnsi="Times New Roman" w:eastAsia="仿宋_GB2312" w:cs="Times New Roman"/>
          <w:b/>
          <w:bCs/>
          <w:sz w:val="32"/>
          <w:szCs w:val="32"/>
          <w:highlight w:val="none"/>
          <w:lang w:val="en-US" w:eastAsia="zh-CN"/>
        </w:rPr>
        <w:t>治理修复技术推广。</w:t>
      </w:r>
      <w:r>
        <w:rPr>
          <w:rFonts w:hint="eastAsia" w:ascii="Times New Roman" w:hAnsi="Times New Roman" w:eastAsia="仿宋_GB2312" w:cs="Times New Roman"/>
          <w:sz w:val="32"/>
          <w:szCs w:val="32"/>
          <w:highlight w:val="none"/>
          <w:lang w:val="en-US" w:eastAsia="zh-CN"/>
        </w:rPr>
        <w:t>建立受污染耕地治理修复治理技术示范区，推广高效实用技术模式，建立受污染耕地安全利用评估体系。</w:t>
      </w:r>
      <w:r>
        <w:rPr>
          <w:rFonts w:hint="eastAsia" w:ascii="Times New Roman" w:hAnsi="Times New Roman" w:eastAsia="仿宋_GB2312" w:cs="Times New Roman"/>
          <w:b/>
          <w:bCs/>
          <w:sz w:val="32"/>
          <w:szCs w:val="32"/>
          <w:highlight w:val="none"/>
          <w:lang w:val="en-US" w:eastAsia="zh-CN"/>
        </w:rPr>
        <w:t>协同监测评估。</w:t>
      </w:r>
      <w:r>
        <w:rPr>
          <w:rFonts w:hint="eastAsia" w:ascii="Times New Roman" w:hAnsi="Times New Roman" w:eastAsia="仿宋_GB2312" w:cs="Times New Roman"/>
          <w:kern w:val="2"/>
          <w:sz w:val="32"/>
          <w:szCs w:val="32"/>
          <w:lang w:val="en-US" w:eastAsia="zh-CN" w:bidi="ar-SA"/>
        </w:rPr>
        <w:t>分析土壤和农产品检测数据，编制评估报告和图册，对全省耕地土壤环境质量和农产品质量安全进行评估并提出指导建议。</w:t>
      </w:r>
    </w:p>
    <w:p w14:paraId="0526B1E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主要任务</w:t>
      </w:r>
    </w:p>
    <w:p w14:paraId="134236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（一）地膜残留监测调查与评估</w:t>
      </w:r>
    </w:p>
    <w:p w14:paraId="60FD541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西部地区地膜残留监测调查与评估。在全省中西部地区产粮大县、地膜使用集中地区以花生和马铃薯为主，布设40个监测点位。依托当地农业环保部门，每个点位开展10个农户或专业合作社入户调查，调查地膜使用量及回收情况。每个点位采集5个样方、3种不同深度地膜残留样品，清洗烘干后称重，计算地膜回收率。在12月底前提交400户地膜使用量调查表，完成40个点位地膜样品监测，提交中西部地区地膜残留监测工作报告、评估报告和技术图册。申报资金额度不超过25万元。</w:t>
      </w:r>
    </w:p>
    <w:p w14:paraId="4D9484D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东部地区地膜残留监测调查与评估。</w:t>
      </w:r>
      <w:r>
        <w:rPr>
          <w:rFonts w:hint="default" w:ascii="Times New Roman" w:hAnsi="Times New Roman" w:eastAsia="仿宋_GB2312" w:cs="Times New Roman"/>
          <w:sz w:val="32"/>
          <w:szCs w:val="32"/>
          <w:highlight w:val="none"/>
          <w:lang w:val="en-US" w:eastAsia="zh-CN"/>
        </w:rPr>
        <w:t>全省</w:t>
      </w:r>
      <w:r>
        <w:rPr>
          <w:rFonts w:hint="eastAsia" w:ascii="Times New Roman" w:hAnsi="Times New Roman" w:eastAsia="仿宋_GB2312" w:cs="Times New Roman"/>
          <w:sz w:val="32"/>
          <w:szCs w:val="32"/>
          <w:highlight w:val="none"/>
          <w:lang w:val="en-US" w:eastAsia="zh-CN"/>
        </w:rPr>
        <w:t>东</w:t>
      </w:r>
      <w:r>
        <w:rPr>
          <w:rFonts w:hint="default" w:ascii="Times New Roman" w:hAnsi="Times New Roman" w:eastAsia="仿宋_GB2312" w:cs="Times New Roman"/>
          <w:sz w:val="32"/>
          <w:szCs w:val="32"/>
          <w:highlight w:val="none"/>
          <w:lang w:val="en-US" w:eastAsia="zh-CN"/>
        </w:rPr>
        <w:t>部地区产粮大县</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地膜使用集中地区以</w:t>
      </w:r>
      <w:r>
        <w:rPr>
          <w:rFonts w:hint="eastAsia" w:ascii="Times New Roman" w:hAnsi="Times New Roman" w:eastAsia="仿宋_GB2312" w:cs="Times New Roman"/>
          <w:sz w:val="32"/>
          <w:szCs w:val="32"/>
          <w:highlight w:val="none"/>
          <w:lang w:val="en-US" w:eastAsia="zh-CN"/>
        </w:rPr>
        <w:t>玉米为主，</w:t>
      </w:r>
      <w:r>
        <w:rPr>
          <w:rFonts w:hint="default" w:ascii="Times New Roman" w:hAnsi="Times New Roman" w:eastAsia="仿宋_GB2312" w:cs="Times New Roman"/>
          <w:sz w:val="32"/>
          <w:szCs w:val="32"/>
          <w:highlight w:val="none"/>
          <w:lang w:val="en-US" w:eastAsia="zh-CN"/>
        </w:rPr>
        <w:t>布设</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个监测点位。依托当地农业环保部门，每个点位开展10个农户或专业合作社入户调查，调查地膜使用量及回收情况。每个点位采集5个样方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3种不同深度地膜残留样品，清洗烘干后称重，计算地膜回收率。在12月底前提交</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00户地膜使用量调查表，完成</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0个点位地膜样品监测，提交</w:t>
      </w:r>
      <w:r>
        <w:rPr>
          <w:rFonts w:hint="eastAsia" w:ascii="Times New Roman" w:hAnsi="Times New Roman" w:eastAsia="仿宋_GB2312" w:cs="Times New Roman"/>
          <w:sz w:val="32"/>
          <w:szCs w:val="32"/>
          <w:highlight w:val="none"/>
          <w:lang w:val="en-US" w:eastAsia="zh-CN"/>
        </w:rPr>
        <w:t>东部地区</w:t>
      </w:r>
      <w:r>
        <w:rPr>
          <w:rFonts w:hint="default" w:ascii="Times New Roman" w:hAnsi="Times New Roman" w:eastAsia="仿宋_GB2312" w:cs="Times New Roman"/>
          <w:sz w:val="32"/>
          <w:szCs w:val="32"/>
          <w:highlight w:val="none"/>
          <w:lang w:val="en-US" w:eastAsia="zh-CN"/>
        </w:rPr>
        <w:t>地膜残留监测工作报告、评估报告和技术图册。申报资金额度不超过</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万元。</w:t>
      </w:r>
    </w:p>
    <w:p w14:paraId="45AE9D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（二）土壤和农产品协同监测</w:t>
      </w:r>
    </w:p>
    <w:p w14:paraId="49F4C2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土壤和农产品样品采集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lang w:val="en-US" w:eastAsia="zh-CN" w:bidi="ar-SA"/>
        </w:rPr>
        <w:t>在全省60个县（市、区）布设1510个协同监测点位</w:t>
      </w:r>
      <w:r>
        <w:rPr>
          <w:rFonts w:hint="eastAsia" w:ascii="Times New Roman" w:hAnsi="Times New Roman" w:eastAsia="仿宋_GB2312" w:cs="Times New Roman"/>
          <w:kern w:val="2"/>
          <w:sz w:val="32"/>
          <w:szCs w:val="32"/>
          <w:lang w:val="en-US" w:eastAsia="zh-CN" w:bidi="ar-SA"/>
        </w:rPr>
        <w:t>。依托当地农业环保部门，在农产品成熟后上市前的秋收窗口期，集中</w:t>
      </w:r>
      <w:r>
        <w:rPr>
          <w:rFonts w:hint="default" w:ascii="Times New Roman" w:hAnsi="Times New Roman" w:eastAsia="仿宋_GB2312" w:cs="Times New Roman"/>
          <w:kern w:val="2"/>
          <w:sz w:val="32"/>
          <w:szCs w:val="32"/>
          <w:lang w:val="en-US" w:eastAsia="zh-CN" w:bidi="ar-SA"/>
        </w:rPr>
        <w:t>开土壤和农产品</w:t>
      </w:r>
      <w:r>
        <w:rPr>
          <w:rFonts w:hint="eastAsia" w:ascii="Times New Roman" w:hAnsi="Times New Roman" w:eastAsia="仿宋_GB2312" w:cs="Times New Roman"/>
          <w:kern w:val="2"/>
          <w:sz w:val="32"/>
          <w:szCs w:val="32"/>
          <w:lang w:val="en-US" w:eastAsia="zh-CN" w:bidi="ar-SA"/>
        </w:rPr>
        <w:t>样品</w:t>
      </w:r>
      <w:r>
        <w:rPr>
          <w:rFonts w:hint="default" w:ascii="Times New Roman" w:hAnsi="Times New Roman" w:eastAsia="仿宋_GB2312" w:cs="Times New Roman"/>
          <w:kern w:val="2"/>
          <w:sz w:val="32"/>
          <w:szCs w:val="32"/>
          <w:lang w:val="en-US" w:eastAsia="zh-CN" w:bidi="ar-SA"/>
        </w:rPr>
        <w:t>协同</w:t>
      </w:r>
      <w:r>
        <w:rPr>
          <w:rFonts w:hint="eastAsia" w:ascii="Times New Roman" w:hAnsi="Times New Roman" w:eastAsia="仿宋_GB2312" w:cs="Times New Roman"/>
          <w:kern w:val="2"/>
          <w:sz w:val="32"/>
          <w:szCs w:val="32"/>
          <w:lang w:val="en-US" w:eastAsia="zh-CN" w:bidi="ar-SA"/>
        </w:rPr>
        <w:t>采集和流转。9月15日前</w:t>
      </w:r>
      <w:r>
        <w:rPr>
          <w:rFonts w:hint="default" w:ascii="Times New Roman" w:hAnsi="Times New Roman" w:eastAsia="仿宋_GB2312" w:cs="Times New Roman"/>
          <w:kern w:val="2"/>
          <w:sz w:val="32"/>
          <w:szCs w:val="32"/>
          <w:lang w:val="en-US" w:eastAsia="zh-CN" w:bidi="ar-SA"/>
        </w:rPr>
        <w:t>完成</w:t>
      </w:r>
      <w:r>
        <w:rPr>
          <w:rFonts w:hint="eastAsia" w:ascii="Times New Roman" w:hAnsi="Times New Roman" w:eastAsia="仿宋_GB2312" w:cs="Times New Roman"/>
          <w:kern w:val="2"/>
          <w:sz w:val="32"/>
          <w:szCs w:val="32"/>
          <w:lang w:val="en-US" w:eastAsia="zh-CN" w:bidi="ar-SA"/>
        </w:rPr>
        <w:t>全部</w:t>
      </w:r>
      <w:r>
        <w:rPr>
          <w:rFonts w:hint="default" w:ascii="Times New Roman" w:hAnsi="Times New Roman" w:eastAsia="仿宋_GB2312" w:cs="Times New Roman"/>
          <w:kern w:val="2"/>
          <w:sz w:val="32"/>
          <w:szCs w:val="32"/>
          <w:lang w:val="en-US" w:eastAsia="zh-CN" w:bidi="ar-SA"/>
        </w:rPr>
        <w:t>样品采集</w:t>
      </w:r>
      <w:r>
        <w:rPr>
          <w:rFonts w:hint="eastAsia" w:ascii="Times New Roman" w:hAnsi="Times New Roman" w:eastAsia="仿宋_GB2312" w:cs="Times New Roman"/>
          <w:kern w:val="2"/>
          <w:sz w:val="32"/>
          <w:szCs w:val="32"/>
          <w:lang w:val="en-US" w:eastAsia="zh-CN" w:bidi="ar-SA"/>
        </w:rPr>
        <w:t>，流</w:t>
      </w:r>
      <w:r>
        <w:rPr>
          <w:rFonts w:hint="default" w:ascii="Times New Roman" w:hAnsi="Times New Roman" w:eastAsia="仿宋_GB2312" w:cs="Times New Roman"/>
          <w:kern w:val="2"/>
          <w:sz w:val="32"/>
          <w:szCs w:val="32"/>
          <w:lang w:val="en-US" w:eastAsia="zh-CN" w:bidi="ar-SA"/>
        </w:rPr>
        <w:t>转至制样服务单位</w:t>
      </w:r>
      <w:r>
        <w:rPr>
          <w:rFonts w:hint="eastAsia" w:ascii="Times New Roman" w:hAnsi="Times New Roman" w:eastAsia="仿宋_GB2312" w:cs="Times New Roman"/>
          <w:kern w:val="2"/>
          <w:sz w:val="32"/>
          <w:szCs w:val="32"/>
          <w:lang w:val="en-US" w:eastAsia="zh-CN" w:bidi="ar-SA"/>
        </w:rPr>
        <w:t>，采样现场上传</w:t>
      </w:r>
      <w:r>
        <w:rPr>
          <w:rFonts w:hint="default" w:ascii="Times New Roman" w:hAnsi="Times New Roman" w:eastAsia="仿宋_GB2312" w:cs="Times New Roman"/>
          <w:kern w:val="2"/>
          <w:sz w:val="32"/>
          <w:szCs w:val="32"/>
          <w:lang w:val="en-US" w:eastAsia="zh-CN" w:bidi="ar-SA"/>
        </w:rPr>
        <w:t>点位信息</w:t>
      </w:r>
      <w:r>
        <w:rPr>
          <w:rFonts w:hint="eastAsia" w:ascii="Times New Roman" w:hAnsi="Times New Roman" w:eastAsia="仿宋_GB2312" w:cs="Times New Roman"/>
          <w:kern w:val="2"/>
          <w:sz w:val="32"/>
          <w:szCs w:val="32"/>
          <w:lang w:val="en-US" w:eastAsia="zh-CN" w:bidi="ar-SA"/>
        </w:rPr>
        <w:t>和采样</w:t>
      </w:r>
      <w:r>
        <w:rPr>
          <w:rFonts w:hint="default" w:ascii="Times New Roman" w:hAnsi="Times New Roman" w:eastAsia="仿宋_GB2312" w:cs="Times New Roman"/>
          <w:kern w:val="2"/>
          <w:sz w:val="32"/>
          <w:szCs w:val="32"/>
          <w:lang w:val="en-US" w:eastAsia="zh-CN" w:bidi="ar-SA"/>
        </w:rPr>
        <w:t>照片至省级采样平台</w:t>
      </w:r>
      <w:r>
        <w:rPr>
          <w:rFonts w:hint="eastAsia" w:ascii="Times New Roman" w:hAnsi="Times New Roman" w:eastAsia="仿宋_GB2312" w:cs="Times New Roman"/>
          <w:kern w:val="2"/>
          <w:sz w:val="32"/>
          <w:szCs w:val="32"/>
          <w:lang w:val="en-US" w:eastAsia="zh-CN" w:bidi="ar-SA"/>
        </w:rPr>
        <w:t>，线上审核采样规范性，</w:t>
      </w:r>
      <w:r>
        <w:rPr>
          <w:rFonts w:hint="default" w:ascii="Times New Roman" w:hAnsi="Times New Roman" w:eastAsia="仿宋_GB2312" w:cs="Times New Roman"/>
          <w:kern w:val="2"/>
          <w:sz w:val="32"/>
          <w:szCs w:val="32"/>
          <w:lang w:val="en-US" w:eastAsia="zh-CN" w:bidi="ar-SA"/>
        </w:rPr>
        <w:t>提交全省土壤和农产品协同监测</w:t>
      </w:r>
      <w:r>
        <w:rPr>
          <w:rFonts w:hint="eastAsia" w:ascii="Times New Roman" w:hAnsi="Times New Roman" w:eastAsia="仿宋_GB2312" w:cs="Times New Roman"/>
          <w:kern w:val="2"/>
          <w:sz w:val="32"/>
          <w:szCs w:val="32"/>
          <w:lang w:val="en-US" w:eastAsia="zh-CN" w:bidi="ar-SA"/>
        </w:rPr>
        <w:t>采样项目实施报告、采样单和</w:t>
      </w:r>
      <w:r>
        <w:rPr>
          <w:rFonts w:hint="default" w:ascii="Times New Roman" w:hAnsi="Times New Roman" w:eastAsia="仿宋_GB2312" w:cs="Times New Roman"/>
          <w:kern w:val="2"/>
          <w:sz w:val="32"/>
          <w:szCs w:val="32"/>
          <w:lang w:val="en-US" w:eastAsia="zh-CN" w:bidi="ar-SA"/>
        </w:rPr>
        <w:t>样品交接单。申报资金额度不超过</w:t>
      </w:r>
      <w:r>
        <w:rPr>
          <w:rFonts w:hint="eastAsia" w:ascii="Times New Roman" w:hAnsi="Times New Roman" w:eastAsia="仿宋_GB2312" w:cs="Times New Roman"/>
          <w:kern w:val="2"/>
          <w:sz w:val="32"/>
          <w:szCs w:val="32"/>
          <w:lang w:val="en-US" w:eastAsia="zh-CN" w:bidi="ar-SA"/>
        </w:rPr>
        <w:t>48</w:t>
      </w:r>
      <w:r>
        <w:rPr>
          <w:rFonts w:hint="default" w:ascii="Times New Roman" w:hAnsi="Times New Roman" w:eastAsia="仿宋_GB2312" w:cs="Times New Roman"/>
          <w:kern w:val="2"/>
          <w:sz w:val="32"/>
          <w:szCs w:val="32"/>
          <w:lang w:val="en-US" w:eastAsia="zh-CN" w:bidi="ar-SA"/>
        </w:rPr>
        <w:t>万元。</w:t>
      </w:r>
    </w:p>
    <w:p w14:paraId="252B12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土壤和农产品样品制备。将1510个土壤样品自然晾晒、风干、缩分后，按照不同检测参数需要，分别过5目、100目尼龙筛制备样品。将1510个农产品样品按照干样、鲜样不同要求制备样品。按照质控实验室要求，向每批次样包中添加定值质控样、密码平行样，加密转码后流转至检测单位。10月15日前完成全部土壤和农产品样品制备，流转至检测服务单位，提交全省土壤和农产品协同监测制样项目实施报告、样品编号转码对照表、样品交接单。申报资金额度不超过30万元。</w:t>
      </w:r>
    </w:p>
    <w:p w14:paraId="78E2F8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lang w:val="en-US" w:eastAsia="zh-CN"/>
        </w:rPr>
        <w:t>（三）治理修复技术推广。</w:t>
      </w:r>
      <w:r>
        <w:rPr>
          <w:rFonts w:hint="eastAsia" w:ascii="Times New Roman" w:hAnsi="Times New Roman" w:eastAsia="仿宋_GB2312" w:cs="Times New Roman"/>
          <w:sz w:val="32"/>
          <w:szCs w:val="32"/>
          <w:highlight w:val="none"/>
          <w:lang w:val="en-US" w:eastAsia="zh-CN"/>
        </w:rPr>
        <w:t>按照土壤和农产品监测数据，建立生产障碍耕地治理修复技术示范区，推广示范安全利用技术，建立生产障碍耕地安全利用评估体系。12月15日前，建立生产障碍耕地治理修复治理技术示范区，组织举办耕地安全利用现场活动1次，提交吉林省生产障碍耕地治理修复技术名录和项目实施报告，提交相关科技成果至少2项，包括但不限于标准性文件、论文、专利、吉林省农业主推技术模式实施指南等。申报资金额度不超过15万元。</w:t>
      </w:r>
    </w:p>
    <w:p w14:paraId="78F72D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lang w:val="en-US" w:eastAsia="zh-CN"/>
        </w:rPr>
        <w:t>（四）协同监测评估。</w:t>
      </w:r>
      <w:r>
        <w:rPr>
          <w:rFonts w:hint="eastAsia" w:ascii="Times New Roman" w:hAnsi="Times New Roman" w:eastAsia="仿宋_GB2312" w:cs="Times New Roman"/>
          <w:sz w:val="32"/>
          <w:szCs w:val="32"/>
          <w:highlight w:val="none"/>
          <w:lang w:val="en-US" w:eastAsia="zh-CN"/>
        </w:rPr>
        <w:t>编制农产品产地土壤和农产品协同监测工作报告和技术报告，总结本年度监测工作开展情况，全面分析全省农产品产地土壤环境质量现状及重金属含量情况趋势，剖析监测数据反映的农产品产地土壤环境潜在问题，得出主要结论，包括但不限于土壤修复治理、安全利用的可行方案，耕地环境质量类别划分动态调整指导性建议等重要内容。12月底前，提交1510个点位监测汇总数据，全省农产品产地土壤和农产品协同监测实施评估报告与图册。申报资金额度不超过4万元。</w:t>
      </w:r>
    </w:p>
    <w:p w14:paraId="03D256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按照吉林省财政资金管理办法相关要求，土壤和农产品样品检测及质量控制服务需政府采购，因此不列入此次公告计划中。</w:t>
      </w:r>
    </w:p>
    <w:p w14:paraId="5FD199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38" w:leftChars="304" w:hanging="1600" w:hangingChars="500"/>
        <w:jc w:val="left"/>
        <w:textAlignment w:val="auto"/>
        <w:rPr>
          <w:rFonts w:hint="eastAsia" w:ascii="Times New Roman" w:hAnsi="Times New Roman" w:eastAsia="仿宋_GB2312" w:cs="Times New Roman"/>
          <w:sz w:val="32"/>
          <w:szCs w:val="32"/>
          <w:highlight w:val="none"/>
          <w:lang w:val="en-US" w:eastAsia="zh-CN"/>
        </w:rPr>
      </w:pPr>
    </w:p>
    <w:p w14:paraId="0BB1D9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38" w:leftChars="304" w:hanging="1600" w:hangingChars="5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附件：1.土壤和农产品样品制备环境场所与主要仪器设备要求</w:t>
      </w:r>
    </w:p>
    <w:p w14:paraId="306773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238" w:leftChars="304" w:hanging="1600" w:hangingChars="500"/>
        <w:jc w:val="left"/>
        <w:textAlignment w:val="auto"/>
        <w:rPr>
          <w:rFonts w:hint="eastAsia" w:ascii="Times New Roman" w:hAnsi="Times New Roman" w:eastAsia="仿宋_GB2312" w:cs="Times New Roman"/>
          <w:sz w:val="32"/>
          <w:szCs w:val="32"/>
          <w:highlight w:val="none"/>
          <w:lang w:val="en-US" w:eastAsia="zh-CN"/>
        </w:rPr>
      </w:pPr>
    </w:p>
    <w:p w14:paraId="6CEC3902">
      <w:pPr>
        <w:keepNext w:val="0"/>
        <w:keepLines w:val="0"/>
        <w:pageBreakBefore w:val="0"/>
        <w:widowControl w:val="0"/>
        <w:kinsoku/>
        <w:wordWrap/>
        <w:overflowPunct/>
        <w:topLinePunct w:val="0"/>
        <w:autoSpaceDE/>
        <w:autoSpaceDN/>
        <w:bidi w:val="0"/>
        <w:adjustRightInd/>
        <w:snapToGrid/>
        <w:spacing w:line="600" w:lineRule="exact"/>
        <w:ind w:firstLine="5720" w:firstLineChars="1300"/>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br w:type="page"/>
      </w:r>
    </w:p>
    <w:p w14:paraId="3454E1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附件1</w:t>
      </w:r>
    </w:p>
    <w:p w14:paraId="0B87AB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238" w:leftChars="304" w:hanging="1600" w:hangingChars="500"/>
        <w:jc w:val="left"/>
        <w:textAlignment w:val="auto"/>
        <w:rPr>
          <w:rFonts w:hint="default" w:ascii="Times New Roman" w:hAnsi="Times New Roman" w:eastAsia="仿宋_GB2312" w:cs="Times New Roman"/>
          <w:sz w:val="32"/>
          <w:szCs w:val="32"/>
          <w:highlight w:val="none"/>
          <w:lang w:val="en-US" w:eastAsia="zh-CN"/>
        </w:rPr>
      </w:pPr>
    </w:p>
    <w:p w14:paraId="7AFCEF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土</w:t>
      </w:r>
      <w:r>
        <w:rPr>
          <w:rFonts w:hint="default" w:ascii="Times New Roman" w:hAnsi="Times New Roman" w:eastAsia="方正小标宋简体" w:cs="Times New Roman"/>
          <w:b w:val="0"/>
          <w:bCs w:val="0"/>
          <w:color w:val="000000"/>
          <w:kern w:val="0"/>
          <w:sz w:val="44"/>
          <w:szCs w:val="44"/>
          <w:lang w:val="en-US" w:eastAsia="zh-CN" w:bidi="ar"/>
        </w:rPr>
        <w:t>壤和农产品协同监测样品制备环境</w:t>
      </w:r>
      <w:r>
        <w:rPr>
          <w:rFonts w:hint="eastAsia" w:ascii="Times New Roman" w:hAnsi="Times New Roman" w:eastAsia="方正小标宋简体" w:cs="Times New Roman"/>
          <w:b w:val="0"/>
          <w:bCs w:val="0"/>
          <w:color w:val="000000"/>
          <w:kern w:val="0"/>
          <w:sz w:val="44"/>
          <w:szCs w:val="44"/>
          <w:lang w:val="en-US" w:eastAsia="zh-CN" w:bidi="ar"/>
        </w:rPr>
        <w:t>场所</w:t>
      </w:r>
    </w:p>
    <w:p w14:paraId="45735B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与主要仪器设备要求</w:t>
      </w:r>
    </w:p>
    <w:p w14:paraId="5CCE269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238" w:leftChars="304" w:hanging="1600" w:hangingChars="500"/>
        <w:jc w:val="left"/>
        <w:textAlignment w:val="auto"/>
        <w:rPr>
          <w:rFonts w:hint="eastAsia" w:ascii="Times New Roman" w:hAnsi="Times New Roman" w:eastAsia="仿宋_GB2312" w:cs="Times New Roman"/>
          <w:sz w:val="32"/>
          <w:szCs w:val="32"/>
          <w:highlight w:val="none"/>
          <w:lang w:val="en-US" w:eastAsia="zh-CN"/>
        </w:rPr>
      </w:pP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3615"/>
        <w:gridCol w:w="1275"/>
        <w:gridCol w:w="2679"/>
      </w:tblGrid>
      <w:tr w14:paraId="16D2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9" w:type="dxa"/>
            <w:vAlign w:val="center"/>
          </w:tcPr>
          <w:p w14:paraId="580DED2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类别</w:t>
            </w:r>
          </w:p>
        </w:tc>
        <w:tc>
          <w:tcPr>
            <w:tcW w:w="3615" w:type="dxa"/>
            <w:vAlign w:val="center"/>
          </w:tcPr>
          <w:p w14:paraId="04D3E23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名称</w:t>
            </w:r>
          </w:p>
        </w:tc>
        <w:tc>
          <w:tcPr>
            <w:tcW w:w="1275" w:type="dxa"/>
            <w:vAlign w:val="center"/>
          </w:tcPr>
          <w:p w14:paraId="7E15CAD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数量</w:t>
            </w:r>
          </w:p>
          <w:p w14:paraId="69D32A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（台/套）</w:t>
            </w:r>
          </w:p>
        </w:tc>
        <w:tc>
          <w:tcPr>
            <w:tcW w:w="2679" w:type="dxa"/>
            <w:vAlign w:val="center"/>
          </w:tcPr>
          <w:p w14:paraId="680926D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highlight w:val="none"/>
                <w:vertAlign w:val="baseline"/>
                <w:lang w:val="en-US" w:eastAsia="zh-CN"/>
              </w:rPr>
            </w:pPr>
            <w:r>
              <w:rPr>
                <w:rFonts w:hint="eastAsia" w:ascii="黑体" w:hAnsi="黑体" w:eastAsia="黑体" w:cs="黑体"/>
                <w:sz w:val="21"/>
                <w:szCs w:val="21"/>
                <w:highlight w:val="none"/>
                <w:vertAlign w:val="baseline"/>
                <w:lang w:val="en-US" w:eastAsia="zh-CN"/>
              </w:rPr>
              <w:t>其他要求</w:t>
            </w:r>
          </w:p>
        </w:tc>
      </w:tr>
      <w:tr w14:paraId="6218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9" w:type="dxa"/>
            <w:vAlign w:val="center"/>
          </w:tcPr>
          <w:p w14:paraId="78567F8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晾晒风干场所</w:t>
            </w:r>
          </w:p>
        </w:tc>
        <w:tc>
          <w:tcPr>
            <w:tcW w:w="3615" w:type="dxa"/>
            <w:vAlign w:val="center"/>
          </w:tcPr>
          <w:p w14:paraId="44E00F5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样品架</w:t>
            </w:r>
          </w:p>
        </w:tc>
        <w:tc>
          <w:tcPr>
            <w:tcW w:w="1275" w:type="dxa"/>
            <w:vAlign w:val="center"/>
          </w:tcPr>
          <w:p w14:paraId="0E6C3ED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≥1</w:t>
            </w:r>
          </w:p>
        </w:tc>
        <w:tc>
          <w:tcPr>
            <w:tcW w:w="2679" w:type="dxa"/>
            <w:vAlign w:val="center"/>
          </w:tcPr>
          <w:p w14:paraId="396AFC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通风良好，具备一定的控温条件，无易挥发性化学物质。土壤样品和农产品样品晾晒或风干场所分类分区</w:t>
            </w:r>
          </w:p>
        </w:tc>
      </w:tr>
      <w:tr w14:paraId="7F0E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9" w:type="dxa"/>
            <w:vAlign w:val="center"/>
          </w:tcPr>
          <w:p w14:paraId="7CC1D34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烘干设备</w:t>
            </w:r>
          </w:p>
        </w:tc>
        <w:tc>
          <w:tcPr>
            <w:tcW w:w="3615" w:type="dxa"/>
            <w:vAlign w:val="center"/>
          </w:tcPr>
          <w:p w14:paraId="3484A41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sz w:val="21"/>
                <w:szCs w:val="21"/>
                <w:highlight w:val="none"/>
                <w:vertAlign w:val="baseline"/>
                <w:lang w:val="en-US" w:eastAsia="zh-CN"/>
              </w:rPr>
              <w:t>烘干箱</w:t>
            </w:r>
          </w:p>
        </w:tc>
        <w:tc>
          <w:tcPr>
            <w:tcW w:w="1275" w:type="dxa"/>
            <w:vAlign w:val="center"/>
          </w:tcPr>
          <w:p w14:paraId="5ED7334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≥1</w:t>
            </w:r>
          </w:p>
        </w:tc>
        <w:tc>
          <w:tcPr>
            <w:tcW w:w="2679" w:type="dxa"/>
            <w:vAlign w:val="center"/>
          </w:tcPr>
          <w:p w14:paraId="2725EA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通过检定、留存检定证书且证书在有效期内</w:t>
            </w:r>
          </w:p>
        </w:tc>
      </w:tr>
      <w:tr w14:paraId="6DF0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9" w:type="dxa"/>
            <w:vMerge w:val="restart"/>
            <w:vAlign w:val="center"/>
          </w:tcPr>
          <w:p w14:paraId="1264627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制样室</w:t>
            </w:r>
          </w:p>
        </w:tc>
        <w:tc>
          <w:tcPr>
            <w:tcW w:w="3615" w:type="dxa"/>
            <w:vAlign w:val="center"/>
          </w:tcPr>
          <w:p w14:paraId="36375E2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视频监控设备</w:t>
            </w:r>
          </w:p>
        </w:tc>
        <w:tc>
          <w:tcPr>
            <w:tcW w:w="1275" w:type="dxa"/>
            <w:vAlign w:val="center"/>
          </w:tcPr>
          <w:p w14:paraId="51CBDDD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≥1</w:t>
            </w:r>
          </w:p>
        </w:tc>
        <w:tc>
          <w:tcPr>
            <w:tcW w:w="2679" w:type="dxa"/>
            <w:vMerge w:val="restart"/>
            <w:vAlign w:val="center"/>
          </w:tcPr>
          <w:p w14:paraId="6E560B4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通风良好，每个制样工位做适当隔离，土壤样品和农产品样品分开独立制备</w:t>
            </w:r>
          </w:p>
        </w:tc>
      </w:tr>
      <w:tr w14:paraId="4BA3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9" w:type="dxa"/>
            <w:vMerge w:val="continue"/>
            <w:vAlign w:val="center"/>
          </w:tcPr>
          <w:p w14:paraId="4975E33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p>
        </w:tc>
        <w:tc>
          <w:tcPr>
            <w:tcW w:w="3615" w:type="dxa"/>
            <w:vAlign w:val="center"/>
          </w:tcPr>
          <w:p w14:paraId="76EF329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spacing w:val="0"/>
                <w:sz w:val="21"/>
                <w:szCs w:val="21"/>
                <w:lang w:val="en-US" w:eastAsia="zh-CN"/>
              </w:rPr>
            </w:pPr>
            <w:r>
              <w:rPr>
                <w:rFonts w:hint="eastAsia" w:ascii="Times New Roman" w:hAnsi="Times New Roman" w:eastAsia="仿宋_GB2312" w:cs="Times New Roman"/>
                <w:i w:val="0"/>
                <w:iCs w:val="0"/>
                <w:caps w:val="0"/>
                <w:color w:val="000000"/>
                <w:spacing w:val="0"/>
                <w:sz w:val="21"/>
                <w:szCs w:val="21"/>
                <w:lang w:val="en-US" w:eastAsia="zh-CN"/>
              </w:rPr>
              <w:t>下排风制样操作台</w:t>
            </w:r>
          </w:p>
        </w:tc>
        <w:tc>
          <w:tcPr>
            <w:tcW w:w="1275" w:type="dxa"/>
            <w:vAlign w:val="center"/>
          </w:tcPr>
          <w:p w14:paraId="1DA65E0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i w:val="0"/>
                <w:iCs w:val="0"/>
                <w:caps w:val="0"/>
                <w:color w:val="000000"/>
                <w:spacing w:val="0"/>
                <w:sz w:val="21"/>
                <w:szCs w:val="21"/>
                <w:lang w:eastAsia="zh-CN"/>
              </w:rPr>
            </w:pPr>
            <w:r>
              <w:rPr>
                <w:rFonts w:hint="default" w:ascii="Times New Roman" w:hAnsi="Times New Roman" w:eastAsia="仿宋_GB2312" w:cs="Times New Roman"/>
                <w:i w:val="0"/>
                <w:iCs w:val="0"/>
                <w:caps w:val="0"/>
                <w:color w:val="000000"/>
                <w:spacing w:val="0"/>
                <w:sz w:val="21"/>
                <w:szCs w:val="21"/>
              </w:rPr>
              <w:t>≥</w:t>
            </w:r>
            <w:r>
              <w:rPr>
                <w:rFonts w:hint="eastAsia" w:ascii="Times New Roman" w:hAnsi="Times New Roman" w:eastAsia="仿宋_GB2312" w:cs="Times New Roman"/>
                <w:i w:val="0"/>
                <w:iCs w:val="0"/>
                <w:caps w:val="0"/>
                <w:color w:val="000000"/>
                <w:spacing w:val="0"/>
                <w:sz w:val="21"/>
                <w:szCs w:val="21"/>
                <w:lang w:val="en-US" w:eastAsia="zh-CN"/>
              </w:rPr>
              <w:t>2</w:t>
            </w:r>
          </w:p>
        </w:tc>
        <w:tc>
          <w:tcPr>
            <w:tcW w:w="2679" w:type="dxa"/>
            <w:vMerge w:val="continue"/>
            <w:vAlign w:val="center"/>
          </w:tcPr>
          <w:p w14:paraId="730B25A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bidi="ar"/>
              </w:rPr>
            </w:pPr>
          </w:p>
        </w:tc>
      </w:tr>
      <w:tr w14:paraId="346B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9" w:type="dxa"/>
            <w:vMerge w:val="restart"/>
            <w:vAlign w:val="center"/>
          </w:tcPr>
          <w:p w14:paraId="176D0ED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土壤制样设备</w:t>
            </w:r>
          </w:p>
        </w:tc>
        <w:tc>
          <w:tcPr>
            <w:tcW w:w="3615" w:type="dxa"/>
            <w:vAlign w:val="center"/>
          </w:tcPr>
          <w:p w14:paraId="16C5D8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研磨设备：玛瑙球磨机、玛瑙研钵、瓷研钵等</w:t>
            </w:r>
          </w:p>
        </w:tc>
        <w:tc>
          <w:tcPr>
            <w:tcW w:w="1275" w:type="dxa"/>
            <w:vAlign w:val="center"/>
          </w:tcPr>
          <w:p w14:paraId="27C1158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3</w:t>
            </w:r>
          </w:p>
        </w:tc>
        <w:tc>
          <w:tcPr>
            <w:tcW w:w="2679" w:type="dxa"/>
            <w:vMerge w:val="restart"/>
            <w:vAlign w:val="center"/>
          </w:tcPr>
          <w:p w14:paraId="31C2E21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工具及容器应准备齐全且状态良好，分装容器材质规格满足技术要求</w:t>
            </w:r>
          </w:p>
        </w:tc>
      </w:tr>
      <w:tr w14:paraId="102A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9" w:type="dxa"/>
            <w:vMerge w:val="continue"/>
            <w:vAlign w:val="center"/>
          </w:tcPr>
          <w:p w14:paraId="1A10CB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p>
        </w:tc>
        <w:tc>
          <w:tcPr>
            <w:tcW w:w="3615" w:type="dxa"/>
            <w:vAlign w:val="center"/>
          </w:tcPr>
          <w:p w14:paraId="126541F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筛分设备：10目和100目的尼龙筛等</w:t>
            </w:r>
          </w:p>
        </w:tc>
        <w:tc>
          <w:tcPr>
            <w:tcW w:w="1275" w:type="dxa"/>
            <w:vAlign w:val="center"/>
          </w:tcPr>
          <w:p w14:paraId="31E4D1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3</w:t>
            </w:r>
          </w:p>
        </w:tc>
        <w:tc>
          <w:tcPr>
            <w:tcW w:w="2679" w:type="dxa"/>
            <w:vMerge w:val="continue"/>
            <w:vAlign w:val="center"/>
          </w:tcPr>
          <w:p w14:paraId="064355C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p>
        </w:tc>
      </w:tr>
      <w:tr w14:paraId="7E2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9" w:type="dxa"/>
            <w:vMerge w:val="restart"/>
            <w:vAlign w:val="center"/>
          </w:tcPr>
          <w:p w14:paraId="156B3B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sz w:val="21"/>
                <w:szCs w:val="21"/>
                <w:highlight w:val="none"/>
                <w:vertAlign w:val="baseline"/>
                <w:lang w:val="en-US" w:eastAsia="zh-CN"/>
              </w:rPr>
              <w:t>农产品制样设备</w:t>
            </w:r>
          </w:p>
        </w:tc>
        <w:tc>
          <w:tcPr>
            <w:tcW w:w="3615" w:type="dxa"/>
            <w:vAlign w:val="center"/>
          </w:tcPr>
          <w:p w14:paraId="2D41E61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脱粒设备：稻穗、麦穗脱粒用脱粒机，去皮用砻谷机；玉米脱粒用硬质木搓板或木块</w:t>
            </w:r>
          </w:p>
        </w:tc>
        <w:tc>
          <w:tcPr>
            <w:tcW w:w="1275" w:type="dxa"/>
            <w:vAlign w:val="center"/>
          </w:tcPr>
          <w:p w14:paraId="09B76FE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2</w:t>
            </w:r>
          </w:p>
        </w:tc>
        <w:tc>
          <w:tcPr>
            <w:tcW w:w="2679" w:type="dxa"/>
            <w:vMerge w:val="continue"/>
            <w:vAlign w:val="center"/>
          </w:tcPr>
          <w:p w14:paraId="5FCB3E0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p>
        </w:tc>
      </w:tr>
      <w:tr w14:paraId="3B0B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9" w:type="dxa"/>
            <w:vMerge w:val="continue"/>
            <w:vAlign w:val="center"/>
          </w:tcPr>
          <w:p w14:paraId="43E7573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p>
        </w:tc>
        <w:tc>
          <w:tcPr>
            <w:tcW w:w="3615" w:type="dxa"/>
            <w:vAlign w:val="center"/>
          </w:tcPr>
          <w:p w14:paraId="493FD40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粮食研磨设备：糙米、麦粒和玉米粒细磨用食品级不锈钢高速粉碎机、玛瑙或氧化锆研磨机</w:t>
            </w:r>
          </w:p>
        </w:tc>
        <w:tc>
          <w:tcPr>
            <w:tcW w:w="1275" w:type="dxa"/>
            <w:vAlign w:val="center"/>
          </w:tcPr>
          <w:p w14:paraId="281674D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2</w:t>
            </w:r>
          </w:p>
        </w:tc>
        <w:tc>
          <w:tcPr>
            <w:tcW w:w="2679" w:type="dxa"/>
            <w:vMerge w:val="continue"/>
            <w:vAlign w:val="center"/>
          </w:tcPr>
          <w:p w14:paraId="02FD2DA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p>
        </w:tc>
      </w:tr>
      <w:tr w14:paraId="6E4C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19" w:type="dxa"/>
            <w:vMerge w:val="continue"/>
            <w:vAlign w:val="center"/>
          </w:tcPr>
          <w:p w14:paraId="27B074B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p>
        </w:tc>
        <w:tc>
          <w:tcPr>
            <w:tcW w:w="3615" w:type="dxa"/>
            <w:vAlign w:val="center"/>
          </w:tcPr>
          <w:p w14:paraId="03BB854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蔬菜研磨设备：蔬菜样品捣碎用营养调理机、细胞破壁机、组织捣碎机等。</w:t>
            </w:r>
          </w:p>
        </w:tc>
        <w:tc>
          <w:tcPr>
            <w:tcW w:w="1275" w:type="dxa"/>
            <w:vAlign w:val="center"/>
          </w:tcPr>
          <w:p w14:paraId="1769CA5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1</w:t>
            </w:r>
          </w:p>
        </w:tc>
        <w:tc>
          <w:tcPr>
            <w:tcW w:w="2679" w:type="dxa"/>
            <w:vMerge w:val="continue"/>
            <w:vAlign w:val="center"/>
          </w:tcPr>
          <w:p w14:paraId="6305DA5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p>
        </w:tc>
      </w:tr>
      <w:tr w14:paraId="7378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19" w:type="dxa"/>
            <w:vMerge w:val="restart"/>
            <w:vAlign w:val="center"/>
          </w:tcPr>
          <w:p w14:paraId="2A8EF3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eastAsia" w:ascii="Times New Roman" w:hAnsi="Times New Roman" w:eastAsia="仿宋_GB2312" w:cs="Times New Roman"/>
                <w:sz w:val="21"/>
                <w:szCs w:val="21"/>
                <w:highlight w:val="none"/>
                <w:vertAlign w:val="baseline"/>
                <w:lang w:val="en-US" w:eastAsia="zh-CN"/>
              </w:rPr>
              <w:t>称量</w:t>
            </w:r>
            <w:r>
              <w:rPr>
                <w:rFonts w:hint="default" w:ascii="Times New Roman" w:hAnsi="Times New Roman" w:eastAsia="仿宋_GB2312" w:cs="Times New Roman"/>
                <w:sz w:val="21"/>
                <w:szCs w:val="21"/>
                <w:highlight w:val="none"/>
                <w:vertAlign w:val="baseline"/>
                <w:lang w:val="en-US" w:eastAsia="zh-CN"/>
              </w:rPr>
              <w:t>设备</w:t>
            </w:r>
          </w:p>
        </w:tc>
        <w:tc>
          <w:tcPr>
            <w:tcW w:w="3615" w:type="dxa"/>
            <w:vAlign w:val="center"/>
          </w:tcPr>
          <w:p w14:paraId="398A71F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万分之一电子天平</w:t>
            </w:r>
          </w:p>
        </w:tc>
        <w:tc>
          <w:tcPr>
            <w:tcW w:w="1275" w:type="dxa"/>
            <w:vAlign w:val="center"/>
          </w:tcPr>
          <w:p w14:paraId="7312A66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2</w:t>
            </w:r>
          </w:p>
        </w:tc>
        <w:tc>
          <w:tcPr>
            <w:tcW w:w="2679" w:type="dxa"/>
            <w:vMerge w:val="restart"/>
            <w:vAlign w:val="center"/>
          </w:tcPr>
          <w:p w14:paraId="58EB86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r>
              <w:rPr>
                <w:rFonts w:hint="default" w:ascii="Times New Roman" w:hAnsi="Times New Roman" w:eastAsia="仿宋_GB2312" w:cs="Times New Roman"/>
                <w:color w:val="000000"/>
                <w:kern w:val="0"/>
                <w:sz w:val="21"/>
                <w:szCs w:val="21"/>
                <w:lang w:val="en-US" w:eastAsia="zh-CN" w:bidi="ar"/>
              </w:rPr>
              <w:t>通过检定、留存检定证书且证书在有效期内</w:t>
            </w:r>
          </w:p>
        </w:tc>
      </w:tr>
      <w:tr w14:paraId="7116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19" w:type="dxa"/>
            <w:vMerge w:val="continue"/>
            <w:vAlign w:val="center"/>
          </w:tcPr>
          <w:p w14:paraId="78CDB7D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vertAlign w:val="baseline"/>
                <w:lang w:val="en-US" w:eastAsia="zh-CN"/>
              </w:rPr>
            </w:pPr>
          </w:p>
        </w:tc>
        <w:tc>
          <w:tcPr>
            <w:tcW w:w="3615" w:type="dxa"/>
            <w:shd w:val="clear" w:color="auto" w:fill="auto"/>
            <w:vAlign w:val="center"/>
          </w:tcPr>
          <w:p w14:paraId="636864D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百分之一电子天平</w:t>
            </w:r>
          </w:p>
        </w:tc>
        <w:tc>
          <w:tcPr>
            <w:tcW w:w="1275" w:type="dxa"/>
            <w:shd w:val="clear" w:color="auto" w:fill="auto"/>
            <w:vAlign w:val="center"/>
          </w:tcPr>
          <w:p w14:paraId="59786C0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kern w:val="2"/>
                <w:sz w:val="21"/>
                <w:szCs w:val="21"/>
                <w:highlight w:val="none"/>
                <w:vertAlign w:val="baseline"/>
                <w:lang w:val="en-US" w:eastAsia="zh-CN" w:bidi="ar-SA"/>
              </w:rPr>
            </w:pPr>
            <w:r>
              <w:rPr>
                <w:rFonts w:hint="default" w:ascii="Times New Roman" w:hAnsi="Times New Roman" w:eastAsia="仿宋_GB2312" w:cs="Times New Roman"/>
                <w:i w:val="0"/>
                <w:iCs w:val="0"/>
                <w:caps w:val="0"/>
                <w:color w:val="000000"/>
                <w:spacing w:val="0"/>
                <w:sz w:val="21"/>
                <w:szCs w:val="21"/>
              </w:rPr>
              <w:t>≥</w:t>
            </w:r>
            <w:r>
              <w:rPr>
                <w:rFonts w:hint="default" w:ascii="Times New Roman" w:hAnsi="Times New Roman" w:eastAsia="仿宋_GB2312" w:cs="Times New Roman"/>
                <w:i w:val="0"/>
                <w:iCs w:val="0"/>
                <w:caps w:val="0"/>
                <w:color w:val="000000"/>
                <w:spacing w:val="0"/>
                <w:sz w:val="21"/>
                <w:szCs w:val="21"/>
                <w:lang w:val="en-US" w:eastAsia="zh-CN"/>
              </w:rPr>
              <w:t>3</w:t>
            </w:r>
          </w:p>
        </w:tc>
        <w:tc>
          <w:tcPr>
            <w:tcW w:w="2679" w:type="dxa"/>
            <w:vMerge w:val="continue"/>
            <w:vAlign w:val="center"/>
          </w:tcPr>
          <w:p w14:paraId="3AEEF56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vertAlign w:val="baseline"/>
                <w:lang w:val="en-US" w:eastAsia="zh-CN"/>
              </w:rPr>
            </w:pPr>
          </w:p>
        </w:tc>
      </w:tr>
    </w:tbl>
    <w:p w14:paraId="66791F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Times New Roman" w:hAnsi="Times New Roman" w:eastAsia="仿宋_GB2312" w:cs="Times New Roman"/>
          <w:sz w:val="32"/>
          <w:szCs w:val="32"/>
          <w:highlight w:val="none"/>
          <w:lang w:val="en-US" w:eastAsia="zh-CN"/>
        </w:rPr>
      </w:pPr>
    </w:p>
    <w:sectPr>
      <w:footerReference r:id="rId3" w:type="default"/>
      <w:pgSz w:w="11906" w:h="16838"/>
      <w:pgMar w:top="170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2D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5371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5371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6E0B7"/>
    <w:multiLevelType w:val="singleLevel"/>
    <w:tmpl w:val="DAF6E0B7"/>
    <w:lvl w:ilvl="0" w:tentative="0">
      <w:start w:val="1"/>
      <w:numFmt w:val="decimal"/>
      <w:suff w:val="nothing"/>
      <w:lvlText w:val="%1、"/>
      <w:lvlJc w:val="left"/>
    </w:lvl>
  </w:abstractNum>
  <w:abstractNum w:abstractNumId="1">
    <w:nsid w:val="F8C2CC43"/>
    <w:multiLevelType w:val="singleLevel"/>
    <w:tmpl w:val="F8C2CC4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E2C84"/>
    <w:rsid w:val="003D6E03"/>
    <w:rsid w:val="030B6598"/>
    <w:rsid w:val="03966111"/>
    <w:rsid w:val="03D472D2"/>
    <w:rsid w:val="042A57AE"/>
    <w:rsid w:val="044632A2"/>
    <w:rsid w:val="04BC20E2"/>
    <w:rsid w:val="059555FB"/>
    <w:rsid w:val="05C73211"/>
    <w:rsid w:val="060E7E23"/>
    <w:rsid w:val="065A1D10"/>
    <w:rsid w:val="06DD024B"/>
    <w:rsid w:val="06F627A6"/>
    <w:rsid w:val="07070E25"/>
    <w:rsid w:val="078E03FC"/>
    <w:rsid w:val="079C63A2"/>
    <w:rsid w:val="09C035C1"/>
    <w:rsid w:val="09F75AC8"/>
    <w:rsid w:val="0A213A2A"/>
    <w:rsid w:val="0A70755E"/>
    <w:rsid w:val="0AA336F7"/>
    <w:rsid w:val="0AC47885"/>
    <w:rsid w:val="0B3F7726"/>
    <w:rsid w:val="0B621AB9"/>
    <w:rsid w:val="0BE502CE"/>
    <w:rsid w:val="0D6E6B91"/>
    <w:rsid w:val="0E4C07DD"/>
    <w:rsid w:val="0E680D42"/>
    <w:rsid w:val="0E9D567C"/>
    <w:rsid w:val="0EC451A0"/>
    <w:rsid w:val="0F565DD2"/>
    <w:rsid w:val="0F762F4A"/>
    <w:rsid w:val="10846E36"/>
    <w:rsid w:val="109202F8"/>
    <w:rsid w:val="10B4201D"/>
    <w:rsid w:val="11795F5C"/>
    <w:rsid w:val="11EA78FA"/>
    <w:rsid w:val="11EB1DAA"/>
    <w:rsid w:val="121A7359"/>
    <w:rsid w:val="135F5187"/>
    <w:rsid w:val="13A121E0"/>
    <w:rsid w:val="13D14623"/>
    <w:rsid w:val="147815B3"/>
    <w:rsid w:val="15113EE2"/>
    <w:rsid w:val="15AA1B1D"/>
    <w:rsid w:val="160B0931"/>
    <w:rsid w:val="167C659A"/>
    <w:rsid w:val="16DE1BA1"/>
    <w:rsid w:val="170B2BB3"/>
    <w:rsid w:val="1723553F"/>
    <w:rsid w:val="17395CA1"/>
    <w:rsid w:val="179C0A16"/>
    <w:rsid w:val="17B117AC"/>
    <w:rsid w:val="17EA04AD"/>
    <w:rsid w:val="18047D2E"/>
    <w:rsid w:val="18207BA6"/>
    <w:rsid w:val="18314FC0"/>
    <w:rsid w:val="18670D2E"/>
    <w:rsid w:val="18E50866"/>
    <w:rsid w:val="1B776A68"/>
    <w:rsid w:val="1B944F25"/>
    <w:rsid w:val="1CCA7F60"/>
    <w:rsid w:val="1D45701B"/>
    <w:rsid w:val="1E7B3C38"/>
    <w:rsid w:val="1EE741F9"/>
    <w:rsid w:val="1F0839F5"/>
    <w:rsid w:val="1F785535"/>
    <w:rsid w:val="1F8F1FC9"/>
    <w:rsid w:val="209D487B"/>
    <w:rsid w:val="213E6F48"/>
    <w:rsid w:val="21A954A2"/>
    <w:rsid w:val="21AD074B"/>
    <w:rsid w:val="21E9487C"/>
    <w:rsid w:val="230213B5"/>
    <w:rsid w:val="233A041B"/>
    <w:rsid w:val="239F4588"/>
    <w:rsid w:val="24E8008F"/>
    <w:rsid w:val="25062C63"/>
    <w:rsid w:val="256C3E42"/>
    <w:rsid w:val="260E417C"/>
    <w:rsid w:val="26350FB7"/>
    <w:rsid w:val="26C57401"/>
    <w:rsid w:val="26D0702D"/>
    <w:rsid w:val="27196C26"/>
    <w:rsid w:val="290A275E"/>
    <w:rsid w:val="2A3A00AE"/>
    <w:rsid w:val="2A53244F"/>
    <w:rsid w:val="2A76611A"/>
    <w:rsid w:val="2A992557"/>
    <w:rsid w:val="2B5E2C84"/>
    <w:rsid w:val="2B746B21"/>
    <w:rsid w:val="2B91322F"/>
    <w:rsid w:val="2BF51321"/>
    <w:rsid w:val="2C0C604B"/>
    <w:rsid w:val="2C1107F0"/>
    <w:rsid w:val="2CC17B44"/>
    <w:rsid w:val="2CD77D84"/>
    <w:rsid w:val="2D8A6187"/>
    <w:rsid w:val="2DF56017"/>
    <w:rsid w:val="2E6C3001"/>
    <w:rsid w:val="2E8779E7"/>
    <w:rsid w:val="2E880905"/>
    <w:rsid w:val="2FF7387C"/>
    <w:rsid w:val="3016756B"/>
    <w:rsid w:val="30853B94"/>
    <w:rsid w:val="30BE1567"/>
    <w:rsid w:val="320756DD"/>
    <w:rsid w:val="32857395"/>
    <w:rsid w:val="332E733A"/>
    <w:rsid w:val="33767E8F"/>
    <w:rsid w:val="34504C29"/>
    <w:rsid w:val="34ED335A"/>
    <w:rsid w:val="358A16AE"/>
    <w:rsid w:val="36581519"/>
    <w:rsid w:val="38036C49"/>
    <w:rsid w:val="3982343F"/>
    <w:rsid w:val="39A55C81"/>
    <w:rsid w:val="39C3649F"/>
    <w:rsid w:val="39CA2927"/>
    <w:rsid w:val="39DC08D3"/>
    <w:rsid w:val="3A284F14"/>
    <w:rsid w:val="3A7970D9"/>
    <w:rsid w:val="3C1C5C5E"/>
    <w:rsid w:val="3C952FE8"/>
    <w:rsid w:val="3CCA5C46"/>
    <w:rsid w:val="3CFE21E3"/>
    <w:rsid w:val="3D281A5E"/>
    <w:rsid w:val="3D6764E5"/>
    <w:rsid w:val="3D70539A"/>
    <w:rsid w:val="3D9237DD"/>
    <w:rsid w:val="3D955AF4"/>
    <w:rsid w:val="3DE60C6E"/>
    <w:rsid w:val="3E3F6B1A"/>
    <w:rsid w:val="3ECA58C6"/>
    <w:rsid w:val="3F250E97"/>
    <w:rsid w:val="3FB17BBE"/>
    <w:rsid w:val="40676A47"/>
    <w:rsid w:val="406E37B1"/>
    <w:rsid w:val="40861D3C"/>
    <w:rsid w:val="40AF22E2"/>
    <w:rsid w:val="410A6D1F"/>
    <w:rsid w:val="41D11AED"/>
    <w:rsid w:val="423136D6"/>
    <w:rsid w:val="42731488"/>
    <w:rsid w:val="428606F1"/>
    <w:rsid w:val="42B14076"/>
    <w:rsid w:val="42B34EDF"/>
    <w:rsid w:val="42BB7687"/>
    <w:rsid w:val="42FF4ACA"/>
    <w:rsid w:val="43030A5E"/>
    <w:rsid w:val="441855A6"/>
    <w:rsid w:val="45191E0F"/>
    <w:rsid w:val="459935B0"/>
    <w:rsid w:val="45AC718B"/>
    <w:rsid w:val="45D41B61"/>
    <w:rsid w:val="45F14B9E"/>
    <w:rsid w:val="45FE4A84"/>
    <w:rsid w:val="46420831"/>
    <w:rsid w:val="467856AB"/>
    <w:rsid w:val="46951B6B"/>
    <w:rsid w:val="47326CAE"/>
    <w:rsid w:val="47544186"/>
    <w:rsid w:val="47633879"/>
    <w:rsid w:val="47F00EF9"/>
    <w:rsid w:val="492434DC"/>
    <w:rsid w:val="4A583ED6"/>
    <w:rsid w:val="4A5B1180"/>
    <w:rsid w:val="4B3002CF"/>
    <w:rsid w:val="4B702599"/>
    <w:rsid w:val="4B8A1E79"/>
    <w:rsid w:val="4C460AAE"/>
    <w:rsid w:val="4D2B4E39"/>
    <w:rsid w:val="4E1C6E78"/>
    <w:rsid w:val="4EE85483"/>
    <w:rsid w:val="4FDE4342"/>
    <w:rsid w:val="50A8054F"/>
    <w:rsid w:val="51020E48"/>
    <w:rsid w:val="5148350E"/>
    <w:rsid w:val="521D6D1B"/>
    <w:rsid w:val="52435D60"/>
    <w:rsid w:val="524B3298"/>
    <w:rsid w:val="528A2602"/>
    <w:rsid w:val="52904E71"/>
    <w:rsid w:val="52D60A51"/>
    <w:rsid w:val="52F61A46"/>
    <w:rsid w:val="533A4276"/>
    <w:rsid w:val="539E1416"/>
    <w:rsid w:val="548D0188"/>
    <w:rsid w:val="549534E0"/>
    <w:rsid w:val="55A35789"/>
    <w:rsid w:val="567E247E"/>
    <w:rsid w:val="56D7455D"/>
    <w:rsid w:val="57B669EE"/>
    <w:rsid w:val="589073D7"/>
    <w:rsid w:val="58AA6ABB"/>
    <w:rsid w:val="5ADF6D7F"/>
    <w:rsid w:val="5B0171D9"/>
    <w:rsid w:val="5B0646B1"/>
    <w:rsid w:val="5BCD164B"/>
    <w:rsid w:val="5C763BF7"/>
    <w:rsid w:val="5C913DE2"/>
    <w:rsid w:val="5D3E2967"/>
    <w:rsid w:val="5DB25F26"/>
    <w:rsid w:val="5E17280A"/>
    <w:rsid w:val="5E266935"/>
    <w:rsid w:val="5E714CB3"/>
    <w:rsid w:val="5EF36638"/>
    <w:rsid w:val="5F1D65AC"/>
    <w:rsid w:val="5FDE27C7"/>
    <w:rsid w:val="5FF26ACB"/>
    <w:rsid w:val="600D4872"/>
    <w:rsid w:val="60D87F35"/>
    <w:rsid w:val="618061B4"/>
    <w:rsid w:val="619A155F"/>
    <w:rsid w:val="61E91D64"/>
    <w:rsid w:val="62134E52"/>
    <w:rsid w:val="63A70E8C"/>
    <w:rsid w:val="63C7541B"/>
    <w:rsid w:val="63E44F41"/>
    <w:rsid w:val="64780205"/>
    <w:rsid w:val="64CD7C7D"/>
    <w:rsid w:val="64F8789F"/>
    <w:rsid w:val="650A643C"/>
    <w:rsid w:val="65B37C6A"/>
    <w:rsid w:val="65D86737"/>
    <w:rsid w:val="65D90883"/>
    <w:rsid w:val="65DE6922"/>
    <w:rsid w:val="663A7A43"/>
    <w:rsid w:val="670E799C"/>
    <w:rsid w:val="672C1A82"/>
    <w:rsid w:val="67672ABA"/>
    <w:rsid w:val="67696AE0"/>
    <w:rsid w:val="67BA708E"/>
    <w:rsid w:val="685C7FAA"/>
    <w:rsid w:val="68876DD5"/>
    <w:rsid w:val="68A530E8"/>
    <w:rsid w:val="68E71F6D"/>
    <w:rsid w:val="68FB795E"/>
    <w:rsid w:val="69683838"/>
    <w:rsid w:val="69EA75AD"/>
    <w:rsid w:val="6A3D4FCC"/>
    <w:rsid w:val="6A6B0B13"/>
    <w:rsid w:val="6A750417"/>
    <w:rsid w:val="6AB57FE0"/>
    <w:rsid w:val="6ADE12E5"/>
    <w:rsid w:val="6CB165AA"/>
    <w:rsid w:val="6CB16A89"/>
    <w:rsid w:val="6D843DD8"/>
    <w:rsid w:val="6DB1375E"/>
    <w:rsid w:val="6DE33684"/>
    <w:rsid w:val="6DF66946"/>
    <w:rsid w:val="6E3F06AB"/>
    <w:rsid w:val="6F3101F6"/>
    <w:rsid w:val="6F542994"/>
    <w:rsid w:val="6FC02EA2"/>
    <w:rsid w:val="70494790"/>
    <w:rsid w:val="704A43F3"/>
    <w:rsid w:val="70A173F7"/>
    <w:rsid w:val="718F3339"/>
    <w:rsid w:val="71A52B5D"/>
    <w:rsid w:val="71B17A1C"/>
    <w:rsid w:val="72DB2074"/>
    <w:rsid w:val="739E427D"/>
    <w:rsid w:val="73F81D9D"/>
    <w:rsid w:val="74257F85"/>
    <w:rsid w:val="749F1296"/>
    <w:rsid w:val="753348CC"/>
    <w:rsid w:val="756C2FB4"/>
    <w:rsid w:val="75BB4137"/>
    <w:rsid w:val="76275B71"/>
    <w:rsid w:val="765E152C"/>
    <w:rsid w:val="76AA71B4"/>
    <w:rsid w:val="77E777A4"/>
    <w:rsid w:val="77E93077"/>
    <w:rsid w:val="7A6441F7"/>
    <w:rsid w:val="7AD9621B"/>
    <w:rsid w:val="7C1E195F"/>
    <w:rsid w:val="7C9D36AC"/>
    <w:rsid w:val="7D254B52"/>
    <w:rsid w:val="7D384885"/>
    <w:rsid w:val="7D9D27D5"/>
    <w:rsid w:val="7DF960D0"/>
    <w:rsid w:val="7E553215"/>
    <w:rsid w:val="7E741C2C"/>
    <w:rsid w:val="7F093ABB"/>
    <w:rsid w:val="7F6110DA"/>
    <w:rsid w:val="7F886629"/>
    <w:rsid w:val="7FCC63F1"/>
    <w:rsid w:val="7FF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2139</Words>
  <Characters>2201</Characters>
  <Lines>0</Lines>
  <Paragraphs>0</Paragraphs>
  <TotalTime>11</TotalTime>
  <ScaleCrop>false</ScaleCrop>
  <LinksUpToDate>false</LinksUpToDate>
  <CharactersWithSpaces>2201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2024-12-23T08:58:00Z</dcterms:created>
  <dc:creator>yyy</dc:creator>
  <cp:lastModifiedBy>yyy</cp:lastModifiedBy>
  <cp:lastPrinted>2025-03-31T03:17:00Z</cp:lastPrinted>
  <dcterms:modified xsi:type="dcterms:W3CDTF">2025-03-31T07:08:07Z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EB7464FC6EDA40E5A7E90AD2519334D5_13</vt:lpwstr>
  </property>
  <property fmtid="{D5CDD505-2E9C-101B-9397-08002B2CF9AE}" pid="4" name="KSOTemplateDocerSaveRecord">
    <vt:lpwstr>eyJoZGlkIjoiZGI1ODEyODcxOWM4ZjU3NmU0Nzc4NGNiNmVmYzg2YjMiLCJ1c2VySWQiOiIyNjg2NjI2In0=</vt:lpwstr>
  </property>
</Properties>
</file>