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47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jc w:val="left"/>
        <w:textAlignment w:val="auto"/>
        <w:rPr>
          <w:rFonts w:hint="eastAsia" w:ascii="Times New Roman" w:hAnsi="Times New Roman" w:eastAsia="方正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bookmarkStart w:id="1" w:name="_GoBack"/>
      <w:bookmarkEnd w:id="1"/>
      <w:r>
        <w:rPr>
          <w:rFonts w:hint="eastAsia" w:ascii="Times New Roman" w:hAnsi="Times New Roman" w:eastAsia="方正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附件：</w:t>
      </w:r>
    </w:p>
    <w:p w14:paraId="0BFB9F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50DB49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880" w:firstLineChars="20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333333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333333"/>
          <w:sz w:val="44"/>
          <w:szCs w:val="44"/>
          <w:shd w:val="clear" w:color="auto" w:fill="FFFFFF"/>
        </w:rPr>
        <w:t>吉林省小麦品种审定标准</w:t>
      </w:r>
    </w:p>
    <w:p w14:paraId="1660EC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880" w:firstLineChars="20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333333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333333"/>
          <w:sz w:val="44"/>
          <w:szCs w:val="44"/>
          <w:shd w:val="clear" w:color="auto" w:fill="FFFFFF"/>
        </w:rPr>
        <w:t>（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333333"/>
          <w:sz w:val="44"/>
          <w:szCs w:val="44"/>
          <w:shd w:val="clear" w:color="auto" w:fill="FFFFFF"/>
          <w:lang w:val="en-US" w:eastAsia="zh-CN"/>
        </w:rPr>
        <w:t>征求意见稿</w:t>
      </w:r>
      <w:r>
        <w:rPr>
          <w:rFonts w:hint="default" w:ascii="Times New Roman" w:hAnsi="Times New Roman" w:eastAsia="方正小标宋简体" w:cs="Times New Roman"/>
          <w:b w:val="0"/>
          <w:bCs w:val="0"/>
          <w:color w:val="333333"/>
          <w:sz w:val="44"/>
          <w:szCs w:val="44"/>
          <w:shd w:val="clear" w:color="auto" w:fill="FFFFFF"/>
        </w:rPr>
        <w:t>）</w:t>
      </w:r>
    </w:p>
    <w:p w14:paraId="2762B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  <w:t xml:space="preserve">1 基本条件 </w:t>
      </w:r>
    </w:p>
    <w:p w14:paraId="26A8799D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default" w:ascii="Times New Roman" w:hAnsi="Times New Roman" w:eastAsia="方正楷体_GB2312" w:cs="Times New Roman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楷体_GB2312" w:cs="Times New Roman"/>
          <w:b/>
          <w:bCs/>
          <w:color w:val="333333"/>
          <w:sz w:val="32"/>
          <w:szCs w:val="32"/>
          <w:shd w:val="clear" w:color="auto" w:fill="FFFFFF"/>
        </w:rPr>
        <w:t xml:space="preserve">抗病性 </w:t>
      </w:r>
    </w:p>
    <w:p w14:paraId="76B456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color w:val="333333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2312" w:cs="Times New Roman"/>
          <w:color w:val="333333"/>
          <w:sz w:val="32"/>
          <w:szCs w:val="32"/>
          <w:lang w:val="en-US" w:eastAsia="zh-CN"/>
        </w:rPr>
        <w:t>秆锈病达到高抗，叶锈病、白粉病达到中抗及以上</w:t>
      </w:r>
      <w:r>
        <w:rPr>
          <w:rFonts w:hint="default" w:ascii="Times New Roman" w:hAnsi="Times New Roman" w:eastAsia="方正仿宋_GB2312" w:cs="Times New Roman"/>
          <w:color w:val="333333"/>
          <w:sz w:val="32"/>
          <w:szCs w:val="32"/>
          <w:highlight w:val="none"/>
          <w:lang w:val="en-US" w:eastAsia="zh-CN"/>
        </w:rPr>
        <w:t>，散黑穗病达到中感及以上。</w:t>
      </w:r>
    </w:p>
    <w:p w14:paraId="5CE61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2312" w:cs="Times New Roman"/>
          <w:color w:val="333333"/>
          <w:sz w:val="32"/>
          <w:szCs w:val="32"/>
        </w:rPr>
        <w:t>抗病性由两年以上的田间自然发病和人工接种鉴定结果综合考评。</w:t>
      </w:r>
      <w:r>
        <w:rPr>
          <w:rFonts w:hint="eastAsia" w:ascii="Times New Roman" w:hAnsi="Times New Roman" w:eastAsia="方正仿宋_GB2312" w:cs="Times New Roman"/>
          <w:color w:val="333333"/>
          <w:sz w:val="32"/>
          <w:szCs w:val="32"/>
          <w:lang w:val="en-US" w:eastAsia="zh-CN"/>
        </w:rPr>
        <w:t xml:space="preserve"> </w:t>
      </w:r>
    </w:p>
    <w:p w14:paraId="28CFA55B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default" w:ascii="Times New Roman" w:hAnsi="Times New Roman" w:eastAsia="方正楷体_GB2312" w:cs="Times New Roman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楷体_GB2312" w:cs="Times New Roman"/>
          <w:b/>
          <w:bCs/>
          <w:color w:val="333333"/>
          <w:sz w:val="32"/>
          <w:szCs w:val="32"/>
          <w:shd w:val="clear" w:color="auto" w:fill="FFFFFF"/>
        </w:rPr>
        <w:t xml:space="preserve">抗倒性 </w:t>
      </w:r>
    </w:p>
    <w:p w14:paraId="611B4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2312" w:cs="Times New Roman"/>
          <w:color w:val="333333"/>
          <w:sz w:val="32"/>
          <w:szCs w:val="32"/>
          <w:shd w:val="clear" w:color="auto" w:fill="FFFFFF"/>
        </w:rPr>
        <w:t>正常年份的区域试验和生产试验的参试品种倒伏</w:t>
      </w:r>
      <w:r>
        <w:rPr>
          <w:rFonts w:hint="default" w:ascii="Times New Roman" w:hAnsi="Times New Roman" w:eastAsia="方正仿宋_GB2312" w:cs="Times New Roman"/>
          <w:color w:val="333333"/>
          <w:sz w:val="32"/>
          <w:szCs w:val="32"/>
          <w:shd w:val="clear" w:color="auto" w:fill="FFFFFF"/>
          <w:lang w:eastAsia="zh-CN"/>
        </w:rPr>
        <w:t>程度</w:t>
      </w:r>
      <w:r>
        <w:rPr>
          <w:rFonts w:hint="default" w:ascii="Times New Roman" w:hAnsi="Times New Roman" w:eastAsia="方正仿宋_GB2312" w:cs="Times New Roman"/>
          <w:color w:val="333333"/>
          <w:sz w:val="32"/>
          <w:szCs w:val="32"/>
          <w:shd w:val="clear" w:color="auto" w:fill="FFFFFF"/>
        </w:rPr>
        <w:t>≤3级，</w:t>
      </w:r>
      <w:r>
        <w:rPr>
          <w:rFonts w:hint="default" w:ascii="Times New Roman" w:hAnsi="Times New Roman" w:eastAsia="方正仿宋_GB2312" w:cs="Times New Roman"/>
          <w:color w:val="333333"/>
          <w:sz w:val="32"/>
          <w:szCs w:val="32"/>
          <w:shd w:val="clear" w:color="auto" w:fill="FFFFFF"/>
          <w:lang w:eastAsia="zh-CN"/>
        </w:rPr>
        <w:t>或</w:t>
      </w:r>
      <w:r>
        <w:rPr>
          <w:rFonts w:hint="default" w:ascii="Times New Roman" w:hAnsi="Times New Roman" w:eastAsia="方正仿宋_GB2312" w:cs="Times New Roman"/>
          <w:color w:val="333333"/>
          <w:sz w:val="32"/>
          <w:szCs w:val="32"/>
          <w:shd w:val="clear" w:color="auto" w:fill="FFFFFF"/>
        </w:rPr>
        <w:t>倒伏面积≤30%</w:t>
      </w:r>
      <w:r>
        <w:rPr>
          <w:rFonts w:hint="default" w:ascii="Times New Roman" w:hAnsi="Times New Roman" w:eastAsia="方正仿宋_GB2312" w:cs="Times New Roman"/>
          <w:color w:val="333333"/>
          <w:sz w:val="32"/>
          <w:szCs w:val="32"/>
          <w:shd w:val="clear" w:color="auto" w:fill="FFFFFF"/>
          <w:lang w:eastAsia="zh-CN"/>
        </w:rPr>
        <w:t>的</w:t>
      </w:r>
      <w:r>
        <w:rPr>
          <w:rFonts w:hint="default" w:ascii="Times New Roman" w:hAnsi="Times New Roman" w:eastAsia="方正仿宋_GB2312" w:cs="Times New Roman"/>
          <w:color w:val="333333"/>
          <w:sz w:val="32"/>
          <w:szCs w:val="32"/>
          <w:shd w:val="clear" w:color="auto" w:fill="FFFFFF"/>
        </w:rPr>
        <w:t>承试点比例≥</w:t>
      </w:r>
      <w:r>
        <w:rPr>
          <w:rFonts w:hint="default" w:ascii="Times New Roman" w:hAnsi="Times New Roman" w:eastAsia="方正仿宋_GB2312" w:cs="Times New Roman"/>
          <w:color w:val="333333"/>
          <w:sz w:val="32"/>
          <w:szCs w:val="32"/>
          <w:shd w:val="clear" w:color="auto" w:fill="FFFFFF"/>
          <w:lang w:val="en-US" w:eastAsia="zh-CN"/>
        </w:rPr>
        <w:t>70</w:t>
      </w:r>
      <w:r>
        <w:rPr>
          <w:rFonts w:hint="default" w:ascii="Times New Roman" w:hAnsi="Times New Roman" w:eastAsia="方正仿宋_GB2312" w:cs="Times New Roman"/>
          <w:color w:val="333333"/>
          <w:sz w:val="32"/>
          <w:szCs w:val="32"/>
          <w:shd w:val="clear" w:color="auto" w:fill="FFFFFF"/>
        </w:rPr>
        <w:t>%。</w:t>
      </w:r>
    </w:p>
    <w:p w14:paraId="3E3F611D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default" w:ascii="Times New Roman" w:hAnsi="Times New Roman" w:eastAsia="方正楷体_GB2312" w:cs="Times New Roman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楷体_GB2312" w:cs="Times New Roman"/>
          <w:b/>
          <w:bCs/>
          <w:color w:val="333333"/>
          <w:sz w:val="32"/>
          <w:szCs w:val="32"/>
          <w:shd w:val="clear" w:color="auto" w:fill="FFFFFF"/>
        </w:rPr>
        <w:t>生育期</w:t>
      </w:r>
      <w:r>
        <w:rPr>
          <w:rFonts w:hint="default" w:ascii="Times New Roman" w:hAnsi="Times New Roman" w:eastAsia="方正楷体_GB2312" w:cs="Times New Roman"/>
          <w:color w:val="333333"/>
          <w:sz w:val="32"/>
          <w:szCs w:val="32"/>
          <w:shd w:val="clear" w:color="auto" w:fill="FFFFFF"/>
        </w:rPr>
        <w:t xml:space="preserve"> </w:t>
      </w:r>
    </w:p>
    <w:p w14:paraId="3E275D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2312" w:cs="Times New Roman"/>
          <w:color w:val="333333"/>
          <w:sz w:val="32"/>
          <w:szCs w:val="32"/>
          <w:shd w:val="clear" w:color="auto" w:fill="FFFFFF"/>
        </w:rPr>
        <w:t>区域试验和生产试验的参试品种生育期不晚于对照品种4天。</w:t>
      </w:r>
    </w:p>
    <w:p w14:paraId="486A4DD0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default" w:ascii="Times New Roman" w:hAnsi="Times New Roman" w:eastAsia="方正楷体_GB2312" w:cs="Times New Roman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楷体_GB2312" w:cs="Times New Roman"/>
          <w:b/>
          <w:bCs/>
          <w:color w:val="333333"/>
          <w:sz w:val="32"/>
          <w:szCs w:val="32"/>
          <w:shd w:val="clear" w:color="auto" w:fill="FFFFFF"/>
        </w:rPr>
        <w:t>真实性和特异性（SSR分子标记检测）</w:t>
      </w:r>
    </w:p>
    <w:p w14:paraId="65B04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2312" w:cs="Times New Roman"/>
          <w:color w:val="333333"/>
          <w:sz w:val="32"/>
          <w:szCs w:val="32"/>
          <w:shd w:val="clear" w:color="auto" w:fill="FFFFFF"/>
        </w:rPr>
        <w:t>同一品种在不同试验年份DNA指纹检测差异位点数≤2个。</w:t>
      </w:r>
    </w:p>
    <w:p w14:paraId="56D53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2312" w:cs="Times New Roman"/>
          <w:color w:val="333333"/>
          <w:sz w:val="32"/>
          <w:szCs w:val="32"/>
          <w:shd w:val="clear" w:color="auto" w:fill="FFFFFF"/>
        </w:rPr>
        <w:t xml:space="preserve">申请审定品种与已知品种DNA指纹检测差异位点数≥4个。申请审定品种与已知品种DNA指纹检测差异位点数=3个的，需进行田间小区种植鉴定证明有重要农艺性状差异。 </w:t>
      </w:r>
    </w:p>
    <w:p w14:paraId="21C480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  <w:t xml:space="preserve">2 分类品种条件 </w:t>
      </w:r>
    </w:p>
    <w:p w14:paraId="7A9E2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default" w:ascii="Times New Roman" w:hAnsi="Times New Roman" w:eastAsia="方正楷体_GB2312" w:cs="Times New Roman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楷体_GB2312" w:cs="Times New Roman"/>
          <w:b/>
          <w:bCs/>
          <w:color w:val="333333"/>
          <w:sz w:val="32"/>
          <w:szCs w:val="32"/>
          <w:shd w:val="clear" w:color="auto" w:fill="FFFFFF"/>
        </w:rPr>
        <w:t xml:space="preserve">2.1 高产稳产品种 </w:t>
      </w:r>
    </w:p>
    <w:p w14:paraId="53F1BF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2312" w:cs="Times New Roman"/>
          <w:color w:val="000000"/>
          <w:sz w:val="32"/>
          <w:szCs w:val="32"/>
        </w:rPr>
        <w:t>两年区域试验平均产量比对照增产≥</w:t>
      </w:r>
      <w:r>
        <w:rPr>
          <w:rFonts w:hint="eastAsia" w:ascii="Times New Roman" w:hAnsi="Times New Roman" w:eastAsia="方正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2312" w:cs="Times New Roman"/>
          <w:color w:val="000000"/>
          <w:sz w:val="32"/>
          <w:szCs w:val="32"/>
        </w:rPr>
        <w:t>.0%，且每年增产≥</w:t>
      </w:r>
      <w:r>
        <w:rPr>
          <w:rFonts w:hint="eastAsia" w:ascii="Times New Roman" w:hAnsi="Times New Roman" w:eastAsia="方正仿宋_GB2312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2312" w:cs="Times New Roman"/>
          <w:color w:val="000000"/>
          <w:sz w:val="32"/>
          <w:szCs w:val="32"/>
        </w:rPr>
        <w:t>.0%，生产试验比对照增产≥2.0%；每年区域试验增产≥2.0%、生产试验增产≥</w:t>
      </w:r>
      <w:r>
        <w:rPr>
          <w:rFonts w:hint="default" w:ascii="Times New Roman" w:hAnsi="Times New Roman" w:eastAsia="方正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2312" w:cs="Times New Roman"/>
          <w:color w:val="000000"/>
          <w:sz w:val="32"/>
          <w:szCs w:val="32"/>
        </w:rPr>
        <w:t>.0%</w:t>
      </w:r>
      <w:r>
        <w:rPr>
          <w:rFonts w:hint="default" w:ascii="Times New Roman" w:hAnsi="Times New Roman" w:eastAsia="方正仿宋_GB2312" w:cs="Times New Roman"/>
          <w:color w:val="000000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方正仿宋_GB2312" w:cs="Times New Roman"/>
          <w:color w:val="000000"/>
          <w:sz w:val="32"/>
          <w:szCs w:val="32"/>
        </w:rPr>
        <w:t xml:space="preserve">试验点比例≥60%。 </w:t>
      </w:r>
    </w:p>
    <w:p w14:paraId="20092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default" w:ascii="Times New Roman" w:hAnsi="Times New Roman" w:eastAsia="方正楷体_GB2312" w:cs="Times New Roman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楷体_GB2312" w:cs="Times New Roman"/>
          <w:b/>
          <w:bCs/>
          <w:color w:val="333333"/>
          <w:sz w:val="32"/>
          <w:szCs w:val="32"/>
          <w:shd w:val="clear" w:color="auto" w:fill="FFFFFF"/>
        </w:rPr>
        <w:t xml:space="preserve">2.2 绿色优质品种 </w:t>
      </w:r>
    </w:p>
    <w:p w14:paraId="7D7F9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default" w:ascii="Times New Roman" w:hAnsi="Times New Roman" w:eastAsia="方正仿宋_GB2312" w:cs="Times New Roman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2312" w:cs="Times New Roman"/>
          <w:b/>
          <w:bCs/>
          <w:color w:val="333333"/>
          <w:sz w:val="32"/>
          <w:szCs w:val="32"/>
          <w:shd w:val="clear" w:color="auto" w:fill="FFFFFF"/>
        </w:rPr>
        <w:t>2.2.1抗赤霉病品种：</w:t>
      </w:r>
      <w:r>
        <w:rPr>
          <w:rFonts w:hint="default" w:ascii="Times New Roman" w:hAnsi="Times New Roman" w:eastAsia="方正仿宋_GB2312" w:cs="Times New Roman"/>
          <w:color w:val="333333"/>
          <w:sz w:val="32"/>
          <w:szCs w:val="32"/>
          <w:shd w:val="clear" w:color="auto" w:fill="FFFFFF"/>
        </w:rPr>
        <w:t xml:space="preserve">抗性鉴定结果为中抗及以上的品种，每年区域试验、生产试验产量比对照平均增产≥0%，且每年区域试验、生产试验增产≥0.0%的试验点比例≥60%。 </w:t>
      </w:r>
    </w:p>
    <w:p w14:paraId="5220B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default" w:ascii="Times New Roman" w:hAnsi="Times New Roman" w:eastAsia="方正仿宋_GB2312" w:cs="Times New Roman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2312" w:cs="Times New Roman"/>
          <w:b/>
          <w:bCs/>
          <w:color w:val="333333"/>
          <w:sz w:val="32"/>
          <w:szCs w:val="32"/>
          <w:shd w:val="clear" w:color="auto" w:fill="FFFFFF"/>
        </w:rPr>
        <w:t>2.2.2抗旱品种：</w:t>
      </w:r>
      <w:r>
        <w:rPr>
          <w:rFonts w:hint="default" w:ascii="Times New Roman" w:hAnsi="Times New Roman" w:eastAsia="方正仿宋_GB2312" w:cs="Times New Roman"/>
          <w:color w:val="333333"/>
          <w:sz w:val="32"/>
          <w:szCs w:val="32"/>
          <w:shd w:val="clear" w:color="auto" w:fill="FFFFFF"/>
        </w:rPr>
        <w:t xml:space="preserve">抗旱性鉴定等级为2级以上的品种，每年区域试验、生产试验产量比对照平均增产≥0%，且每年区域试验、生产试验增产≥0.0%的试验点比例≥60%。 </w:t>
      </w:r>
    </w:p>
    <w:p w14:paraId="1ADEE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default" w:ascii="Times New Roman" w:hAnsi="Times New Roman" w:eastAsia="方正仿宋_GB2312" w:cs="Times New Roman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2312" w:cs="Times New Roman"/>
          <w:b/>
          <w:bCs/>
          <w:color w:val="333333"/>
          <w:sz w:val="32"/>
          <w:szCs w:val="32"/>
          <w:shd w:val="clear" w:color="auto" w:fill="FFFFFF"/>
        </w:rPr>
        <w:t>2.2.3抗穗发芽品种：</w:t>
      </w:r>
      <w:r>
        <w:rPr>
          <w:rFonts w:hint="default" w:ascii="Times New Roman" w:hAnsi="Times New Roman" w:eastAsia="方正仿宋_GB2312" w:cs="Times New Roman"/>
          <w:color w:val="333333"/>
          <w:sz w:val="32"/>
          <w:szCs w:val="32"/>
          <w:shd w:val="clear" w:color="auto" w:fill="FFFFFF"/>
        </w:rPr>
        <w:t>小麦抗穗发芽性检测结果高抗级别，每年区域试验、生产试验产量比对照增产≥0.0%，且每年区域试验、生产试验增产≥0.0%的试验点比例≥60%。</w:t>
      </w:r>
    </w:p>
    <w:p w14:paraId="2F6CC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default" w:ascii="Times New Roman" w:hAnsi="Times New Roman" w:eastAsia="方正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bCs/>
          <w:color w:val="333333"/>
          <w:sz w:val="32"/>
          <w:szCs w:val="32"/>
          <w:shd w:val="clear" w:color="auto" w:fill="FFFFFF"/>
        </w:rPr>
        <w:t>2.2.4 优质品种</w:t>
      </w:r>
      <w:r>
        <w:rPr>
          <w:rFonts w:hint="default" w:ascii="Times New Roman" w:hAnsi="Times New Roman" w:eastAsia="方正仿宋_GB2312" w:cs="Times New Roman"/>
          <w:b/>
          <w:bCs/>
          <w:color w:val="333333"/>
          <w:sz w:val="32"/>
          <w:szCs w:val="32"/>
          <w:shd w:val="clear" w:color="auto" w:fill="FFFFFF"/>
          <w:lang w:eastAsia="zh-CN"/>
        </w:rPr>
        <w:t>：</w:t>
      </w:r>
      <w:r>
        <w:rPr>
          <w:rFonts w:hint="default" w:ascii="Times New Roman" w:hAnsi="Times New Roman" w:eastAsia="方正仿宋_GB2312" w:cs="Times New Roman"/>
          <w:color w:val="000000"/>
          <w:sz w:val="32"/>
          <w:szCs w:val="32"/>
        </w:rPr>
        <w:t>满足下述各项相关指标要求的强筋、中筋和弱筋小麦为优质品种。</w:t>
      </w:r>
    </w:p>
    <w:p w14:paraId="3D1B0A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bCs/>
          <w:color w:val="333333"/>
          <w:sz w:val="32"/>
          <w:szCs w:val="32"/>
          <w:shd w:val="clear" w:color="auto" w:fill="FFFFFF"/>
        </w:rPr>
        <w:t>强筋</w:t>
      </w:r>
      <w:r>
        <w:rPr>
          <w:rFonts w:hint="default" w:ascii="Times New Roman" w:hAnsi="Times New Roman" w:eastAsia="方正仿宋_GB2312" w:cs="Times New Roman"/>
          <w:b/>
          <w:bCs/>
          <w:color w:val="333333"/>
          <w:sz w:val="32"/>
          <w:szCs w:val="32"/>
          <w:shd w:val="clear" w:color="auto" w:fill="FFFFFF"/>
          <w:lang w:val="en-US" w:eastAsia="zh-CN"/>
        </w:rPr>
        <w:t>小麦</w:t>
      </w:r>
      <w:r>
        <w:rPr>
          <w:rFonts w:hint="default" w:ascii="Times New Roman" w:hAnsi="Times New Roman" w:eastAsia="方正仿宋_GB2312" w:cs="Times New Roman"/>
          <w:b/>
          <w:bCs/>
          <w:color w:val="333333"/>
          <w:sz w:val="32"/>
          <w:szCs w:val="32"/>
          <w:shd w:val="clear" w:color="auto" w:fill="FFFFFF"/>
        </w:rPr>
        <w:t>：</w:t>
      </w:r>
      <w:r>
        <w:rPr>
          <w:rFonts w:hint="default" w:ascii="Times New Roman" w:hAnsi="Times New Roman" w:eastAsia="方正仿宋_GB2312" w:cs="Times New Roman"/>
          <w:color w:val="333333"/>
          <w:sz w:val="32"/>
          <w:szCs w:val="32"/>
          <w:shd w:val="clear" w:color="auto" w:fill="FFFFFF"/>
        </w:rPr>
        <w:t>籽粒粗蛋白质含量（干基）≥1</w:t>
      </w:r>
      <w:r>
        <w:rPr>
          <w:rFonts w:hint="default" w:ascii="Times New Roman" w:hAnsi="Times New Roman" w:eastAsia="方正仿宋_GB2312" w:cs="Times New Roman"/>
          <w:color w:val="333333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方正仿宋_GB2312" w:cs="Times New Roman"/>
          <w:color w:val="333333"/>
          <w:sz w:val="32"/>
          <w:szCs w:val="32"/>
          <w:shd w:val="clear" w:color="auto" w:fill="FFFFFF"/>
        </w:rPr>
        <w:t>.0%、湿面筋含量（14%水分基）≥3</w:t>
      </w:r>
      <w:r>
        <w:rPr>
          <w:rFonts w:hint="default" w:ascii="Times New Roman" w:hAnsi="Times New Roman" w:eastAsia="方正仿宋_GB2312" w:cs="Times New Roman"/>
          <w:color w:val="333333"/>
          <w:sz w:val="32"/>
          <w:szCs w:val="32"/>
          <w:shd w:val="clear" w:color="auto" w:fill="FFFFFF"/>
          <w:lang w:val="en-US" w:eastAsia="zh-CN"/>
        </w:rPr>
        <w:t>0.5</w:t>
      </w:r>
      <w:r>
        <w:rPr>
          <w:rFonts w:hint="default" w:ascii="Times New Roman" w:hAnsi="Times New Roman" w:eastAsia="方正仿宋_GB2312" w:cs="Times New Roman"/>
          <w:color w:val="333333"/>
          <w:sz w:val="32"/>
          <w:szCs w:val="32"/>
          <w:shd w:val="clear" w:color="auto" w:fill="FFFFFF"/>
        </w:rPr>
        <w:t>%、吸水率≥60%、稳定时间≥10.0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min、</w:t>
      </w:r>
      <w:r>
        <w:rPr>
          <w:rFonts w:hint="default" w:ascii="Times New Roman" w:hAnsi="Times New Roman" w:eastAsia="方正仿宋_GB2312" w:cs="Times New Roman"/>
          <w:color w:val="333333"/>
          <w:sz w:val="32"/>
          <w:szCs w:val="32"/>
          <w:shd w:val="clear" w:color="auto" w:fill="FFFFFF"/>
        </w:rPr>
        <w:t>最大拉伸阻力Rm.E.U.≥450、拉伸面积≥100cm</w:t>
      </w:r>
      <w:r>
        <w:rPr>
          <w:rFonts w:hint="default" w:ascii="Times New Roman" w:hAnsi="Times New Roman" w:eastAsia="方正仿宋_GB2312" w:cs="Times New Roman"/>
          <w:color w:val="333333"/>
          <w:sz w:val="32"/>
          <w:szCs w:val="32"/>
          <w:shd w:val="clear" w:color="auto" w:fill="FFFFFF"/>
          <w:vertAlign w:val="superscript"/>
        </w:rPr>
        <w:t>2</w:t>
      </w:r>
      <w:r>
        <w:rPr>
          <w:rFonts w:hint="default" w:ascii="Times New Roman" w:hAnsi="Times New Roman" w:eastAsia="方正仿宋_GB2312" w:cs="Times New Roman"/>
          <w:color w:val="333333"/>
          <w:sz w:val="32"/>
          <w:szCs w:val="32"/>
          <w:shd w:val="clear" w:color="auto" w:fill="FFFFFF"/>
        </w:rPr>
        <w:t>，</w:t>
      </w:r>
      <w:bookmarkStart w:id="0" w:name="OLE_LINK3"/>
      <w:r>
        <w:rPr>
          <w:rFonts w:hint="default" w:ascii="Times New Roman" w:hAnsi="Times New Roman" w:eastAsia="方正仿宋_GB2312" w:cs="Times New Roman"/>
          <w:sz w:val="32"/>
          <w:szCs w:val="32"/>
        </w:rPr>
        <w:t>两年区域试验产量比对照增产≥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%，生产试验产量比对照增产≥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%，每年区域试验和生产试验产量增产≥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%的试验点≥60%以上。</w:t>
      </w:r>
      <w:bookmarkEnd w:id="0"/>
    </w:p>
    <w:p w14:paraId="3AD00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bCs/>
          <w:sz w:val="32"/>
          <w:szCs w:val="32"/>
        </w:rPr>
        <w:t>中筋小麦：</w:t>
      </w:r>
      <w:r>
        <w:rPr>
          <w:rFonts w:hint="default" w:ascii="Times New Roman" w:hAnsi="Times New Roman" w:eastAsia="方正仿宋_GB2312" w:cs="Times New Roman"/>
          <w:color w:val="333333"/>
          <w:sz w:val="32"/>
          <w:szCs w:val="32"/>
          <w:shd w:val="clear" w:color="auto" w:fill="FFFFFF"/>
        </w:rPr>
        <w:t>籽粒粗蛋白质含量（干基）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≥12%、</w:t>
      </w:r>
      <w:r>
        <w:rPr>
          <w:rFonts w:hint="default" w:ascii="Times New Roman" w:hAnsi="Times New Roman" w:eastAsia="方正仿宋_GB2312" w:cs="Times New Roman"/>
          <w:color w:val="333333"/>
          <w:sz w:val="32"/>
          <w:szCs w:val="32"/>
          <w:shd w:val="clear" w:color="auto" w:fill="FFFFFF"/>
        </w:rPr>
        <w:t>湿面筋含量（14%水分基）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≥24%、吸水率≥55%、稳定时间≥3 min、最大拉伸阻力≥200 Rm.E.U、拉伸面积≥50cm²。两年区域试验产量比对照增产≥3%，且每年增产≥2.0%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生产试验产量比对照增产≥2%，每年区域试验和生产试验产量增产≥2%的试验点≥60%以上。</w:t>
      </w:r>
    </w:p>
    <w:p w14:paraId="2C0A8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2312" w:cs="Times New Roman"/>
          <w:b/>
          <w:bCs/>
          <w:color w:val="333333"/>
          <w:sz w:val="32"/>
          <w:szCs w:val="32"/>
          <w:shd w:val="clear" w:color="auto" w:fill="FFFFFF"/>
        </w:rPr>
        <w:t>弱筋小麦：</w:t>
      </w:r>
      <w:r>
        <w:rPr>
          <w:rFonts w:hint="default" w:ascii="Times New Roman" w:hAnsi="Times New Roman" w:eastAsia="方正仿宋_GB2312" w:cs="Times New Roman"/>
          <w:color w:val="333333"/>
          <w:sz w:val="32"/>
          <w:szCs w:val="32"/>
          <w:shd w:val="clear" w:color="auto" w:fill="FFFFFF"/>
          <w:lang w:eastAsia="zh-CN"/>
        </w:rPr>
        <w:t>籽粒</w:t>
      </w:r>
      <w:r>
        <w:rPr>
          <w:rFonts w:hint="default" w:ascii="Times New Roman" w:hAnsi="Times New Roman" w:eastAsia="方正仿宋_GB2312" w:cs="Times New Roman"/>
          <w:color w:val="333333"/>
          <w:sz w:val="32"/>
          <w:szCs w:val="32"/>
          <w:shd w:val="clear" w:color="auto" w:fill="FFFFFF"/>
        </w:rPr>
        <w:t>粗蛋白质含量（干基）＜12.0%、湿面筋含量（14%水分基）＜24.0%、吸水率＜55%、稳定时间＜3.0分钟。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两年区域试验产量比对照增产≥3%，生产试验产量比对照增产≥2%，每年区域试验和生产试验产量增产≥2%的试验点≥60%以上。</w:t>
      </w:r>
    </w:p>
    <w:p w14:paraId="1C0D982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2312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59D517"/>
    <w:multiLevelType w:val="multilevel"/>
    <w:tmpl w:val="4D59D517"/>
    <w:lvl w:ilvl="0" w:tentative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rFonts w:hint="default" w:ascii="楷体" w:hAnsi="楷体" w:eastAsia="楷体" w:cs="楷体"/>
        <w:b/>
        <w:bCs/>
      </w:r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B61587"/>
    <w:rsid w:val="265638B9"/>
    <w:rsid w:val="35B61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925</Words>
  <Characters>1125</Characters>
  <Lines>0</Lines>
  <Paragraphs>0</Paragraphs>
  <TotalTime>0</TotalTime>
  <ScaleCrop>false</ScaleCrop>
  <LinksUpToDate>false</LinksUpToDate>
  <CharactersWithSpaces>1144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2026-02-10T01:44:00Z</dcterms:created>
  <dc:creator>y</dc:creator>
  <cp:lastModifiedBy>天天</cp:lastModifiedBy>
  <dcterms:modified xsi:type="dcterms:W3CDTF">2026-02-10T01:55:22Z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FBF9732A03E84765A68CB45CE067FB9F_13</vt:lpwstr>
  </property>
  <property fmtid="{D5CDD505-2E9C-101B-9397-08002B2CF9AE}" pid="4" name="KSOTemplateDocerSaveRecord">
    <vt:lpwstr>eyJoZGlkIjoiODAyMThiY2VkMTMwYjFkODhiNjc2ODBhMjAzYzQyMTIiLCJ1c2VySWQiOiIyNDUxNDc0NjIifQ==</vt:lpwstr>
  </property>
</Properties>
</file>