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2E7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78D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19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吉林省作物种质资源鉴定改良应用项目申报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指南</w:t>
      </w:r>
    </w:p>
    <w:p w14:paraId="3BDB65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A9D1A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一、总体目标</w:t>
      </w:r>
    </w:p>
    <w:p w14:paraId="0D93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利用1年时间，建立部省联动协同推进精准鉴定机制，建成覆盖全省作物种质资源鉴定评价体系，开展对全省保存的15万份种质资源筛选出5万份进行基因型鉴定，选择1万份左右适宜吉林省寒地区域特色的核心种质资源进行高产、优质、耐密、耐盐碱、宜机收等生产急需性状的精准鉴定，初步筛选目标性状突出的高产优质抗逆玉米、水稻、大豆及特色作物优异种质1000份以上，挖掘利用产量、抗性、品质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优异基因10个以上，开发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选择效率＞50%的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功能性分子标记40个以上。</w:t>
      </w:r>
    </w:p>
    <w:p w14:paraId="0B1D9AF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二、申报形式</w:t>
      </w:r>
    </w:p>
    <w:p w14:paraId="6823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采取“揭榜挂帅”的形式进行课题申报。设置12个课题，每个课题为一个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榜单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，揭榜单位须按具体课题单独揭榜。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鼓励多个单位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组成联合体开展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联合申报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661B3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三、支持重点</w:t>
      </w:r>
    </w:p>
    <w:p w14:paraId="49A295D5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玉米种质资源精准鉴定</w:t>
      </w:r>
    </w:p>
    <w:p w14:paraId="6DFF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主要考核指标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摸清我省玉米种质资源底数。完成15000份玉米种质资源基因型精准鉴定。开展2000份玉米种质资源产量性状、品质性状、抗病性、抗逆性等表型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鉴定。初步筛选出高产、耐密、宜机收、抗病、耐盐碱、高蛋白、高淀粉等性状优异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种质资源200份以上。挖掘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产量、抗性、品质等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优异性状相关基因1个，开发选择效率＞50%的功能性分子标记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个以上。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数据上交至吉林省作物种质资源保护与利用中心，形成年度总结报告1份。</w:t>
      </w:r>
    </w:p>
    <w:p w14:paraId="1D0CB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不超过545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32C487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水稻种质资源精准鉴定</w:t>
      </w:r>
    </w:p>
    <w:p w14:paraId="33AD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水稻种质资源底数。完成10000份水稻种质资源基因型精准鉴定。开展2000份水稻种质资源产量性状、品质性状、抗病性、抗逆性等表型精准鉴定。初步筛选出高产、优质、抗倒伏、抗病、耐低温、耐盐碱等性状优异种质资源200份以上。挖掘优异性状相关基因1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开发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选择效率＞50%的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个以上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数据上交至吉林省作物种质资源保护与利用中心，形成年度总结报告1份。</w:t>
      </w:r>
    </w:p>
    <w:p w14:paraId="71F7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不超过275万元。</w:t>
      </w:r>
    </w:p>
    <w:p w14:paraId="030B5B56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大豆种质资源精准鉴定</w:t>
      </w:r>
    </w:p>
    <w:p w14:paraId="7D236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主要考核指标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大豆种质资源底数。完成12000份大豆种质资源基因型精准鉴定。开展1500份大豆种质资源产量性状、品质性状、抗病性、抗逆性等表型精准鉴定。初步筛选出高产、耐密、高蛋白、高油、抗倒伏、高维生素、高可溶性糖、抗灰斑病、抗花叶病毒病、抗胞囊线虫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抗根腐病、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抗霜霉病、耐盐碱等性状优异种质资源150份以上。挖掘优异性状相关基因1个，开发选择效率＞50%的功能性分子标记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个以上。数据上交至吉林省作物种质资源保护与利用中心，形成年度总结报告1份。</w:t>
      </w:r>
    </w:p>
    <w:p w14:paraId="6B7B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不超过283万元。</w:t>
      </w:r>
    </w:p>
    <w:p w14:paraId="31E9C3F2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杂粮杂豆种质资源精准鉴定</w:t>
      </w:r>
    </w:p>
    <w:p w14:paraId="289DD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杂粮杂豆种质资源底数。聚焦高粱、绿豆、谷子等，完成3000份杂粮杂豆种质资源基因型精准鉴定。开展1000份杂粮杂豆种质资源产量性状、品质性状、抗病性、抗逆性等表型精准鉴定。初步筛选出性状优异种质资源75份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，重点包括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产、耐密、宜机收、高淀粉、抗倒伏、耐盐碱，其中（1）高粱抗丝黑穗病、炭疽病、靶斑病；（2）绿豆高蛋白、高出沙率、抗枯萎病、晕疫病、疫霉病；（3）谷子高蛋白、高脂肪、抗谷瘟病、抗谷锈病、抗白发病、抗纹枯病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挖掘优异性状相关基因1个，开发选择效率＞50%的功能性分子标记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个以上。数据上交至吉林省作物种质资源保护与利用中心，形成年度总结报告1份。</w:t>
      </w:r>
    </w:p>
    <w:p w14:paraId="5DC76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不超过114万元。</w:t>
      </w:r>
    </w:p>
    <w:p w14:paraId="13EC602C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油料作物种质资源精准鉴定</w:t>
      </w:r>
    </w:p>
    <w:p w14:paraId="0C4F1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摸清我省油料作物种质资源底数。聚焦花生、向日葵、苏子、芝麻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，完成2500份种质资源基因型精准鉴定。开展1240份种质资源产量性状、品质性状、抗病性、抗逆性等表型精准鉴定。初步筛选出性状优异种质资源1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，重点包括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产、高油、高脂肪、高蛋白、耐盐碱，其中（1）花生高蔗糖、抗叶斑病、抗网斑病、抗锈病、抗青枯、抗白绢、抗果腐、耐低温；（2）向日葵抗菌核病、抗列当；（3）苏子抗白粉病、锈病、褐斑病，耐低温；（4）芝麻抗茎点枯、抗疫病、抗叶斑病、耐渍等。挖掘优异性状相关基因1个，开发选择效率＞50%的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个以上。数据上交至吉林省作物种质资源保护与利用中心，形成年度总结报告1份。</w:t>
      </w:r>
    </w:p>
    <w:p w14:paraId="5DFE5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不超过166万元。</w:t>
      </w:r>
    </w:p>
    <w:p w14:paraId="6DE2E785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食用菌种质资源精准鉴定</w:t>
      </w:r>
    </w:p>
    <w:p w14:paraId="2E7C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摸清我省食用菌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质资源底数。聚焦猴头菇、灵芝、亚侧耳、金顶侧耳、毛木耳、黑木耳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完成1000份食药用菌种质资源基因型精准鉴定。开展400份种质资源基质利用率、品质性状、抗病性等表型精准鉴定。初步筛选出农业废弃物利用率高、活性物质含量高、抗病等性状优异种质资源50份以上。数据上交至吉林省作物种质资源保护与利用中心，形成年度总结报告1份。</w:t>
      </w:r>
    </w:p>
    <w:p w14:paraId="6660B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不超过105万元。</w:t>
      </w:r>
    </w:p>
    <w:p w14:paraId="3A8A6D6F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蔬菜作物种质资源精准鉴定</w:t>
      </w:r>
    </w:p>
    <w:p w14:paraId="7AFC6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摸清我省蔬菜作物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质资源底数。聚焦大白菜、辣椒、菜豆、黄瓜、番茄、茄子、西甜瓜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，完成2500份种质资源基因型精准鉴定。开展800份种质资源产量性状、品质性状、抗病性、抗逆性等表型精准鉴定。初步筛选出性状优异种质资源100份以上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，重点包括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产、优质、抗病、商品性好及具有特殊性状的优良资源，其中（1）大白菜有黄心、耐抽薹、口感脆嫩、结球紧实、抗霜霉病、抗黑腐病；（2）辣椒耐密、高维生素、高辣椒素、抗病毒病、抗炭疽病、抗疫病；（3）菜豆荚皮光亮、纤维含量小、口感柔嫩、高蛋白、高脂肪、抗锈病、抗炭疽病；（4）黄瓜高维生素、高可溶性糖、高干物质、抗霜霉病、抗角斑病；（5）番茄高可溶性固形物、高糖酸比、抗叶霉病、抗枯萎病、抗晚疫病；（6）茄子果形周正、果皮光滑、果肉硬度适中、抗黄萎病、抗绵疫病；（7）西甜瓜耐密、高可溶性固形物、高商品果率、抗白粉病、抗霜霉病、抗炭疽病等。挖掘优异性状相关基因1个，开发选择效率＞50%的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个以上。数据上交至吉林省作物种质资源保护与利用中心，形成年度总结报告1份。</w:t>
      </w:r>
    </w:p>
    <w:p w14:paraId="34BC0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不超过103万元。</w:t>
      </w:r>
    </w:p>
    <w:p w14:paraId="73C46590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果树种质资源精准鉴定</w:t>
      </w:r>
    </w:p>
    <w:p w14:paraId="6E7B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摸清我省果树种质资源底数。聚焦苹果、李、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梨、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草莓、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越橘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、五味子、软枣猕猴桃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，完成1000份种质资源基因型鉴定。开展800份种质资源风味性状、营养性状、食用性状、商品性状、抗逆性等表型精准鉴定。初步筛选出性状优异种质资源100份以上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，重点包括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抗寒性强、高糖、高酸，其中（1）苹果香气和硬度适中；（2）李高花青素、硬度适中；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低石细胞含量、果实硬度适中；（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）草莓香气和硬度适中；（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越橘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总花青素、单果重、硬度适中；（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）五味子木脂素和出汁率适中；（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）软枣猕猴桃维生素C、单果重、硬度适中等。挖掘优异性状相关基因1个，开发选择效率＞50%的功能性分子标记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个以上。数据上交至吉林省作物种质资源保护与利用中心，形成年度总结报告1份。</w:t>
      </w:r>
    </w:p>
    <w:p w14:paraId="6C463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不超过100万元。</w:t>
      </w:r>
    </w:p>
    <w:p w14:paraId="69B61187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麦类种质资源精准鉴定</w:t>
      </w:r>
    </w:p>
    <w:p w14:paraId="3054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摸清我省麦类种质资源底数。聚焦小麦和燕麦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，完成800份种质资源基因型精准鉴定。完成500份种质资源产量性状、品质性状、抗病性、抗逆性等表型精准鉴定。初步筛选出性状优异种质资源50份以上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，重点包括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高产、高蛋白、抗倒伏、抗秆锈病、白粉病、耐盐碱，其中（1）小麦抗赤霉病、高湿面筋；（2）燕麦抗根腐病、高淀粉、高脂肪等。挖掘优异性状相关基因1个，开发选择效率＞50%的功能性分子标记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个以上。数据上交至吉林省作物种质资源保护与利用中心，形成年度总结报告1份。</w:t>
      </w:r>
    </w:p>
    <w:p w14:paraId="0CD04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不超过120万元。</w:t>
      </w:r>
    </w:p>
    <w:p w14:paraId="3FDDE399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薯类种质资源精准鉴定</w:t>
      </w:r>
    </w:p>
    <w:p w14:paraId="52EB8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摸清我省薯类种质资源底数。聚焦马铃薯和甘薯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，完成600份种质资源基因型精准鉴定。开展400份种质资源产量性状、品质性状、抗病性等表型精准鉴定。初步筛选出性状优异种质资源40份以上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，重点包括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高产、高淀粉、高蛋白，其中（1）马铃薯抗晚疫病、抗疮痂病；（2）甘薯抗黑斑病、抗茎线虫病等。挖掘优异性状相关基因1个，开发选择效率＞50%的功能性分子标记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个以上。数据上交至吉林省作物种质资源保护与利用中心，形成年度总结报告1份。</w:t>
      </w:r>
    </w:p>
    <w:p w14:paraId="2060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不超过52万元。</w:t>
      </w:r>
    </w:p>
    <w:p w14:paraId="56245B21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牧草种质资源精准鉴定</w:t>
      </w:r>
    </w:p>
    <w:p w14:paraId="67D3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聚焦苜蓿、羊草、碱茅、无芒雀麦，摸清我省牧草种质资源底数。完成1600份种质资源基因型精准鉴定。开展400份牧草种质资源产量性状、品质性状、抗逆性等表型精准鉴定。初步筛选出优异种质资源40份以上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，重点包括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（1）高产、优质、抗寒紫花苜蓿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（2）高产、优质、耐盐、抗旱的羊草、碱茅、无芒雀麦等。挖掘优异性状相关基因1个，开发选择效率＞50%的功能性分子标记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个以上。数据上交至吉林省作物种质资源保护与利用中心，形成年度总结报告1份。</w:t>
      </w:r>
    </w:p>
    <w:p w14:paraId="56EE3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不超过113万元。</w:t>
      </w:r>
    </w:p>
    <w:p w14:paraId="39AF0177">
      <w:pPr>
        <w:pStyle w:val="4"/>
        <w:keepNext w:val="0"/>
        <w:keepLines w:val="0"/>
        <w:pageBreakBefore w:val="0"/>
        <w:widowControl w:val="0"/>
        <w:tabs>
          <w:tab w:val="right" w:leader="dot" w:pos="849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蚕种质资源精准鉴定</w:t>
      </w:r>
    </w:p>
    <w:p w14:paraId="0901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1.主要考核指标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摸清我省蚕种质资源底数。开展40份蚕种质资源生物学特性、抗病性、经济性状与利用性能等性状综合鉴定；初步筛选出高产、抗病、大型、高丝、高油等综合性状突出、特色鲜明的蚕优质种质资源10份以上。形成年度总结报告1份。</w:t>
      </w:r>
    </w:p>
    <w:p w14:paraId="5C09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2.资助资金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不超过24万元。</w:t>
      </w:r>
    </w:p>
    <w:p w14:paraId="1489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项目实施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要求</w:t>
      </w:r>
    </w:p>
    <w:p w14:paraId="64D2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（一）确定种质资源鉴定对象。</w:t>
      </w:r>
      <w:bookmarkStart w:id="0" w:name="OLE_LINK4"/>
    </w:p>
    <w:p w14:paraId="2DD2B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鉴定范围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我省已登记或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育种家应用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的种质资源，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种质资源保护单位或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种质资源库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长期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保存的未开展过表型鉴定和基因型鉴定的种质资源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544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2.资源核查。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各项目组应主动与全省各作物种质资源库（圃）对接，对拟鉴定资源进行系统梳理和比对，去除重复保存的资源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。同时与国家级种质资源库（圃）进行沟通对接，核查拟鉴定资源是否已开展或正在开展相关鉴定工作，避免与国家已鉴定或拟鉴定资源重复。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对于尚未完成正式登记的资源，应在鉴定任务结题前完成相关登记备案手续。</w:t>
      </w:r>
    </w:p>
    <w:p w14:paraId="45C3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3.清单确认。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形成经核实确认的资源鉴定清单，并提供资源去重情况说明及相关佐证材料，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已完成鉴定的种质资源进行重复鉴定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F9E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4.数据管理。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鉴定国家库（圃）种质资源应征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求国家相关库（圃）管理部门意见，并按照国家要求开展鉴定。鉴定数据统一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汇交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入吉林省农作物种质资源保护与利用中心数据库，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对经鉴定确认优异的种质资源，确认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根据国家要求纳入国家平台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按照有关技术规范实施安全备份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14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5.合规要求。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根据《中华人民共和国种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子法》对种质资源的定义，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不能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育种中间材料作为鉴定对象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bookmarkEnd w:id="0"/>
    </w:p>
    <w:p w14:paraId="78206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（二）确定种质资源鉴定方法。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种质资源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鉴定采取基因型鉴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定和表型鉴定两个部分。鉴定方式采用国家统一的鉴定技术标准，如没有国家统一的鉴定技术标准，应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组织专家研判，确定鉴定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准则。</w:t>
      </w:r>
    </w:p>
    <w:p w14:paraId="21460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申报条件</w:t>
      </w:r>
    </w:p>
    <w:p w14:paraId="18A9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（一）申报对象及条件</w:t>
      </w:r>
    </w:p>
    <w:p w14:paraId="4EA0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1.基本条件。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登记注册并具有独立法人资格的科研院所、涉农高校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、种业企业均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可单独申报，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也可以联合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符合条件的法人单位组成的联合体共同申报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未列入经营异常名录、严重失信主体名单或存在违法违规记录。企业应具有农作物种子生产经营许可证。</w:t>
      </w:r>
    </w:p>
    <w:p w14:paraId="4701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2.基础条件。揭榜单位及参与单位须具备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种质资源保存、鉴定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育种的基础能力。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申报涉及的资源须已依法完成登记，确保来源合法、权属清晰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揭榜单位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拥有完善的标准化试验基地、温室设施及智能化鉴定平台，能够满足项目在多点布局、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多环境、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多重复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试验要求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163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（二）项目牵头人条件</w:t>
      </w:r>
    </w:p>
    <w:p w14:paraId="430E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项目设12个作物类别，不同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作物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采取牵头人负责制，牵头人负责统筹全省相应作物种质资源鉴定改良应用等工作。牵头人应是申报单位在职正式职工，</w:t>
      </w:r>
      <w:bookmarkStart w:id="1" w:name="OLE_LINK6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能连续承担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3年项目且项目验收前不超过法定退休年龄。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高级职称，身体健康，拥有种质资源鉴定改良创制等相关工作经验，能够带领团队按照项目要求完成任务指标。</w:t>
      </w:r>
    </w:p>
    <w:p w14:paraId="145E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3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牵头揭榜单位的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，主营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收入应在1亿元以上，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上年度研发经费占主营收入比例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达到1%以上或研发经费总额达到1000万元以上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1"/>
    <w:p w14:paraId="2EFA0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（三）团队条件</w:t>
      </w:r>
    </w:p>
    <w:p w14:paraId="33515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团队成员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应为所在单位的在职正式职工，且项目验收前不超过法定退休年龄。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科研单位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具有中级以上职称且有种质资源鉴定改良创制、育种研发等相关经验，身体健康，有较强的团队合作意识。</w:t>
      </w:r>
    </w:p>
    <w:p w14:paraId="1C09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企业为参与单位的，主营业务收入应在0.5亿元以上，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上年度研发经费占主营收入比例须达到0.5%以上或研发经费总额达到500万元以上；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团队成员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应具备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种质资源鉴定改良创制、育种研发等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条件。</w:t>
      </w:r>
    </w:p>
    <w:p w14:paraId="0491E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项目执行期</w:t>
      </w:r>
    </w:p>
    <w:p w14:paraId="1FF17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项目执行期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3年，本次申报项目执行期为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2026年1月—2026年12月。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2026年验收合格后，项目单位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有意愿申报2027年任务的将优先考虑。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2027年验收合格后，项目单位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仍可继续申报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2028年任务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并优先考虑。年度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验收不合格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将在其他申报的项目单位择优遴选。</w:t>
      </w:r>
    </w:p>
    <w:p w14:paraId="46D384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</w:t>
      </w:r>
    </w:p>
    <w:p w14:paraId="5197A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4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项目申报预算总额不超过2000万元。资助资金最终以年度预算安排为准</w:t>
      </w:r>
      <w:bookmarkStart w:id="2" w:name="OLE_LINK8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资金额度将按照省财政年度预算资金额度及任务指标最后确定。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资金采取一次性拨付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bookmarkEnd w:id="2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项目实施单位应建立专账，实行专款专用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资金使用要符合《吉林省省级财政专项资金管理办法》等相关文件的规定，只能用于与本项目相关的直接支出，不得提取管理费用和列支间接经费，不得列支与本项目无关的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事项，不得用于发放绩效、基建类项目支出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，以及其他财政不允许列支的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支出。年度验收不合格的，将减少相关单位、团队项目支持。</w:t>
      </w:r>
    </w:p>
    <w:p w14:paraId="7ECBA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八、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p w14:paraId="70B9C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1.项目申报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3F06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2.申报单位（或联合体参与单位）法人资格证明材料；</w:t>
      </w:r>
    </w:p>
    <w:p w14:paraId="1A5D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3.联合申报协议（独立申报单位不提交此项）；</w:t>
      </w:r>
    </w:p>
    <w:p w14:paraId="33F05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4.申报单位（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包括参加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单位）的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种质资源开展的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基础设施条件以及科研人才等技术力量、农业种质资源保护开展情况、曾承担过相关项目的实施情况及成效、项目管理制度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、信用中国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等情况说明及相关佐证材料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能支撑申报条件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4C16F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5.项目牵头人及团队成员的职称、承担种质资源开展工作情况等情况说明及佐证材料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能支撑申报条件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C44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.项目实施方案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A148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7.项目承诺函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C0EB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A320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34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吉林省作物种质资源鉴定改良应用项目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申报书</w:t>
      </w:r>
    </w:p>
    <w:p w14:paraId="4635B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5BBF6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4BCE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19AE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2463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65E64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2C18D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41370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50683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087C3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053A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60" w:firstLineChars="600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申报作物类别：</w:t>
      </w:r>
      <w:r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        </w:t>
      </w:r>
    </w:p>
    <w:p w14:paraId="17120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60" w:firstLineChars="600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项目申报单位（盖章）：</w:t>
      </w:r>
      <w:r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</w:t>
      </w:r>
    </w:p>
    <w:p w14:paraId="28CCA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60" w:firstLineChars="600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项目参加单位（盖章）：</w:t>
      </w:r>
      <w:r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</w:t>
      </w:r>
    </w:p>
    <w:p w14:paraId="24F5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60" w:firstLineChars="600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联系人及电话：</w:t>
      </w:r>
      <w:r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        </w:t>
      </w:r>
    </w:p>
    <w:p w14:paraId="2FD74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</w:pPr>
    </w:p>
    <w:p w14:paraId="2C37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*年*月</w:t>
      </w:r>
    </w:p>
    <w:p w14:paraId="157B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6B6A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83C40CF">
      <w:pPr>
        <w:widowControl/>
        <w:suppressAutoHyphens/>
        <w:bidi w:val="0"/>
        <w:jc w:val="center"/>
        <w:outlineLvl w:val="0"/>
        <w:rPr>
          <w:rFonts w:hint="default" w:ascii="Times New Roman" w:hAnsi="Times New Roman" w:eastAsia="黑体" w:cs="Times New Roman"/>
          <w:snapToGrid w:val="0"/>
          <w:color w:val="000000"/>
          <w:sz w:val="44"/>
          <w:szCs w:val="44"/>
          <w:lang w:eastAsia="zh-CN"/>
        </w:rPr>
      </w:pPr>
    </w:p>
    <w:p w14:paraId="74A3D2C9">
      <w:pPr>
        <w:widowControl/>
        <w:suppressAutoHyphens/>
        <w:bidi w:val="0"/>
        <w:jc w:val="center"/>
        <w:outlineLvl w:val="0"/>
        <w:rPr>
          <w:rFonts w:hint="default" w:ascii="Times New Roman" w:hAnsi="Times New Roman" w:eastAsia="黑体" w:cs="Times New Roman"/>
          <w:snapToGrid w:val="0"/>
          <w:color w:val="000000"/>
          <w:sz w:val="44"/>
          <w:szCs w:val="44"/>
          <w:lang w:eastAsia="zh-CN"/>
        </w:rPr>
      </w:pPr>
    </w:p>
    <w:p w14:paraId="53BEB758">
      <w:pPr>
        <w:widowControl/>
        <w:suppressAutoHyphens/>
        <w:bidi w:val="0"/>
        <w:jc w:val="center"/>
        <w:outlineLvl w:val="0"/>
        <w:rPr>
          <w:rFonts w:hint="default" w:ascii="Times New Roman" w:hAnsi="Times New Roman" w:eastAsia="黑体" w:cs="Times New Roman"/>
          <w:snapToGrid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44"/>
          <w:szCs w:val="44"/>
          <w:lang w:eastAsia="zh-CN"/>
        </w:rPr>
        <w:t>目</w:t>
      </w:r>
      <w:r>
        <w:rPr>
          <w:rFonts w:hint="default" w:ascii="Times New Roman" w:hAnsi="Times New Roman" w:eastAsia="黑体" w:cs="Times New Roman"/>
          <w:snapToGrid w:val="0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napToGrid w:val="0"/>
          <w:color w:val="000000"/>
          <w:sz w:val="44"/>
          <w:szCs w:val="44"/>
          <w:lang w:eastAsia="zh-CN"/>
        </w:rPr>
        <w:t>录</w:t>
      </w:r>
    </w:p>
    <w:p w14:paraId="74FC97A1">
      <w:pPr>
        <w:widowControl w:val="0"/>
        <w:ind w:firstLine="640" w:firstLineChars="200"/>
        <w:jc w:val="left"/>
        <w:rPr>
          <w:rFonts w:hint="default" w:ascii="Times New Roman" w:hAnsi="Times New Roman" w:eastAsia="仿宋" w:cs="Times New Roman"/>
          <w:kern w:val="2"/>
          <w:sz w:val="32"/>
          <w:szCs w:val="22"/>
          <w:lang w:val="en-US" w:eastAsia="zh-CN" w:bidi="ar-SA"/>
        </w:rPr>
      </w:pPr>
    </w:p>
    <w:p w14:paraId="0C18D5D5">
      <w:pPr>
        <w:widowControl w:val="0"/>
        <w:ind w:left="0" w:leftChars="0" w:firstLine="640" w:firstLineChars="200"/>
        <w:jc w:val="left"/>
        <w:outlineLvl w:val="0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申报表----------------------------------------------页码</w:t>
      </w:r>
    </w:p>
    <w:p w14:paraId="28F9413E">
      <w:pPr>
        <w:suppressAutoHyphens/>
        <w:bidi w:val="0"/>
        <w:ind w:firstLine="640" w:firstLineChars="200"/>
        <w:outlineLvl w:val="0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2.承诺函----------------------------------------------页码</w:t>
      </w:r>
    </w:p>
    <w:p w14:paraId="2EE56683">
      <w:pPr>
        <w:suppressAutoHyphens/>
        <w:bidi w:val="0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3.联合申报协议-------------------------------------页码</w:t>
      </w:r>
    </w:p>
    <w:p w14:paraId="11F51B2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4.项目实施方案-------------------------------------页码</w:t>
      </w:r>
    </w:p>
    <w:p w14:paraId="285CE01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5.佐证材料（写清每一项佐证材料名称及对应页码）</w:t>
      </w:r>
    </w:p>
    <w:p w14:paraId="75B6BC9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br w:type="page"/>
      </w:r>
    </w:p>
    <w:p w14:paraId="7FB4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吉林省作物种质资源鉴定改良应用项目</w:t>
      </w:r>
    </w:p>
    <w:p w14:paraId="0B50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申报表</w:t>
      </w:r>
    </w:p>
    <w:p w14:paraId="61142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/>
          <w:kern w:val="0"/>
          <w:sz w:val="32"/>
          <w:szCs w:val="32"/>
          <w:lang w:eastAsia="zh-CN"/>
        </w:rPr>
        <w:t>项目申报单位</w:t>
      </w:r>
      <w:r>
        <w:rPr>
          <w:rFonts w:hint="default" w:ascii="Times New Roman" w:hAnsi="Times New Roman" w:eastAsia="方正楷体_GBK" w:cs="Times New Roman"/>
          <w:b/>
          <w:kern w:val="0"/>
          <w:sz w:val="32"/>
          <w:szCs w:val="32"/>
        </w:rPr>
        <w:t>）</w:t>
      </w:r>
    </w:p>
    <w:tbl>
      <w:tblPr>
        <w:tblStyle w:val="5"/>
        <w:tblW w:w="97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2575"/>
        <w:gridCol w:w="1927"/>
        <w:gridCol w:w="3368"/>
      </w:tblGrid>
      <w:tr w14:paraId="29BFDB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F1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5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936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972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申报类型</w:t>
            </w:r>
          </w:p>
        </w:tc>
        <w:tc>
          <w:tcPr>
            <w:tcW w:w="33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D0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独立申报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联合申报</w:t>
            </w:r>
          </w:p>
        </w:tc>
      </w:tr>
      <w:tr w14:paraId="2F8F66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3D9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57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98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4E4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单位地址</w:t>
            </w:r>
          </w:p>
        </w:tc>
        <w:tc>
          <w:tcPr>
            <w:tcW w:w="336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05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6BB06F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C4D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单位性质</w:t>
            </w:r>
          </w:p>
        </w:tc>
        <w:tc>
          <w:tcPr>
            <w:tcW w:w="257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91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高校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科研单位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19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01C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336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58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02AB0B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6E6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农作物种子生产经营许可证号</w:t>
            </w:r>
          </w:p>
        </w:tc>
        <w:tc>
          <w:tcPr>
            <w:tcW w:w="257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D1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企业填写，其他单位不用填</w:t>
            </w:r>
          </w:p>
        </w:tc>
        <w:tc>
          <w:tcPr>
            <w:tcW w:w="19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7CE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联系人及</w:t>
            </w:r>
          </w:p>
          <w:p w14:paraId="110F296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36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94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095FCC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B12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经费总额（万元）</w:t>
            </w:r>
          </w:p>
        </w:tc>
        <w:tc>
          <w:tcPr>
            <w:tcW w:w="257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196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9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8B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开户行及</w:t>
            </w:r>
          </w:p>
          <w:p w14:paraId="495F7DB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账号</w:t>
            </w:r>
          </w:p>
        </w:tc>
        <w:tc>
          <w:tcPr>
            <w:tcW w:w="336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9B7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55D351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  <w:jc w:val="center"/>
        </w:trPr>
        <w:tc>
          <w:tcPr>
            <w:tcW w:w="97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08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  <w:t>项目牵头人基本信息</w:t>
            </w:r>
          </w:p>
        </w:tc>
      </w:tr>
      <w:tr w14:paraId="7CD1DC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32B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25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7AE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2CA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龄</w:t>
            </w:r>
          </w:p>
        </w:tc>
        <w:tc>
          <w:tcPr>
            <w:tcW w:w="336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22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5B530D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65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25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402E">
            <w:pPr>
              <w:widowControl/>
              <w:spacing w:line="400" w:lineRule="exact"/>
              <w:ind w:right="-14" w:rightChars="0" w:firstLine="48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39D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3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E973">
            <w:pPr>
              <w:widowControl/>
              <w:spacing w:line="400" w:lineRule="exact"/>
              <w:ind w:right="-14" w:rightChars="0" w:firstLine="48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0190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C8B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证件类型</w:t>
            </w:r>
          </w:p>
        </w:tc>
        <w:tc>
          <w:tcPr>
            <w:tcW w:w="257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D17D">
            <w:pPr>
              <w:widowControl/>
              <w:spacing w:line="400" w:lineRule="exact"/>
              <w:ind w:right="-14" w:rightChars="0" w:firstLine="48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19E7">
            <w:pPr>
              <w:widowControl/>
              <w:spacing w:line="400" w:lineRule="exact"/>
              <w:ind w:left="640" w:leftChars="0" w:right="-14" w:rightChars="0" w:hanging="640" w:hangingChars="2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证件号码</w:t>
            </w:r>
          </w:p>
        </w:tc>
        <w:tc>
          <w:tcPr>
            <w:tcW w:w="336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D97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50A8A1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75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称</w:t>
            </w:r>
          </w:p>
        </w:tc>
        <w:tc>
          <w:tcPr>
            <w:tcW w:w="25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1565">
            <w:pPr>
              <w:widowControl/>
              <w:spacing w:line="400" w:lineRule="exact"/>
              <w:ind w:right="-14" w:firstLine="48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7FA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获得职称</w:t>
            </w:r>
          </w:p>
          <w:p w14:paraId="0608C24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时  间</w:t>
            </w:r>
          </w:p>
        </w:tc>
        <w:tc>
          <w:tcPr>
            <w:tcW w:w="33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E775">
            <w:pPr>
              <w:widowControl/>
              <w:spacing w:line="400" w:lineRule="exact"/>
              <w:ind w:right="-14" w:firstLine="48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6C937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072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学  历</w:t>
            </w:r>
          </w:p>
        </w:tc>
        <w:tc>
          <w:tcPr>
            <w:tcW w:w="25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4E4A">
            <w:pPr>
              <w:widowControl/>
              <w:spacing w:line="400" w:lineRule="exact"/>
              <w:ind w:right="-14" w:firstLine="48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F9D0">
            <w:pPr>
              <w:widowControl/>
              <w:spacing w:line="400" w:lineRule="exact"/>
              <w:ind w:left="640" w:right="-14" w:hanging="640" w:hangingChars="2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33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6727">
            <w:pPr>
              <w:widowControl/>
              <w:spacing w:line="400" w:lineRule="exact"/>
              <w:ind w:right="-14" w:firstLine="48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C6CC4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6" w:hRule="atLeast"/>
          <w:jc w:val="center"/>
        </w:trPr>
        <w:tc>
          <w:tcPr>
            <w:tcW w:w="9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81CB">
            <w:pPr>
              <w:widowControl/>
              <w:spacing w:line="400" w:lineRule="exact"/>
              <w:ind w:right="-14" w:firstLine="48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盖章：</w:t>
            </w:r>
          </w:p>
          <w:p w14:paraId="02B3999A">
            <w:pPr>
              <w:widowControl/>
              <w:spacing w:line="400" w:lineRule="exact"/>
              <w:ind w:right="-14" w:firstLine="48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法定代表人签字：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       年  月  日</w:t>
            </w:r>
          </w:p>
        </w:tc>
      </w:tr>
    </w:tbl>
    <w:p w14:paraId="60C13F9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吉林省作物种质资源鉴定改良应用项目</w:t>
      </w:r>
    </w:p>
    <w:p w14:paraId="54BBE253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申报表</w:t>
      </w:r>
    </w:p>
    <w:p w14:paraId="3269EA5C">
      <w:pPr>
        <w:jc w:val="center"/>
        <w:rPr>
          <w:rFonts w:hint="default" w:ascii="Times New Roman" w:hAnsi="Times New Roman" w:eastAsia="方正楷体_GBK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/>
          <w:kern w:val="0"/>
          <w:sz w:val="32"/>
          <w:szCs w:val="32"/>
          <w:lang w:eastAsia="zh-CN"/>
        </w:rPr>
        <w:t>参加单位</w:t>
      </w:r>
      <w:r>
        <w:rPr>
          <w:rFonts w:hint="default" w:ascii="Times New Roman" w:hAnsi="Times New Roman" w:eastAsia="方正楷体_GBK" w:cs="Times New Roman"/>
          <w:b/>
          <w:kern w:val="0"/>
          <w:sz w:val="32"/>
          <w:szCs w:val="32"/>
        </w:rPr>
        <w:t>申报）</w:t>
      </w:r>
    </w:p>
    <w:tbl>
      <w:tblPr>
        <w:tblStyle w:val="5"/>
        <w:tblW w:w="97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1382"/>
        <w:gridCol w:w="1480"/>
        <w:gridCol w:w="1073"/>
        <w:gridCol w:w="452"/>
        <w:gridCol w:w="1909"/>
        <w:gridCol w:w="1574"/>
      </w:tblGrid>
      <w:tr w14:paraId="776F2D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atLeast"/>
          <w:jc w:val="center"/>
        </w:trPr>
        <w:tc>
          <w:tcPr>
            <w:tcW w:w="9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3B2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2"/>
                <w:szCs w:val="32"/>
              </w:rPr>
              <w:t>参与单位1</w:t>
            </w:r>
          </w:p>
        </w:tc>
      </w:tr>
      <w:tr w14:paraId="23A26F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F58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0C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E59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注册地</w:t>
            </w:r>
          </w:p>
        </w:tc>
        <w:tc>
          <w:tcPr>
            <w:tcW w:w="34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7C0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529D0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46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862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5F3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9A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34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62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32A7F4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70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开户行</w:t>
            </w:r>
          </w:p>
        </w:tc>
        <w:tc>
          <w:tcPr>
            <w:tcW w:w="2862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40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AD2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开户账号</w:t>
            </w:r>
          </w:p>
        </w:tc>
        <w:tc>
          <w:tcPr>
            <w:tcW w:w="34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95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5FA4E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0D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38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38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D6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15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9E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6E6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57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38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4139C9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977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1400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2"/>
                <w:szCs w:val="32"/>
              </w:rPr>
              <w:t>参与单位2</w:t>
            </w:r>
          </w:p>
        </w:tc>
      </w:tr>
      <w:tr w14:paraId="67B280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DAF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862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77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B1E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注册地</w:t>
            </w:r>
          </w:p>
        </w:tc>
        <w:tc>
          <w:tcPr>
            <w:tcW w:w="34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64D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3AB410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86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862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B3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19C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34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BA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2E4B25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2C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开户行</w:t>
            </w:r>
          </w:p>
        </w:tc>
        <w:tc>
          <w:tcPr>
            <w:tcW w:w="2862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3B6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DAA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开户账号</w:t>
            </w:r>
          </w:p>
        </w:tc>
        <w:tc>
          <w:tcPr>
            <w:tcW w:w="34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A8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BA10C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1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6B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38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05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390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15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2A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697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57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7B6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210504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  <w:jc w:val="center"/>
        </w:trPr>
        <w:tc>
          <w:tcPr>
            <w:tcW w:w="9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2052">
            <w:pPr>
              <w:widowControl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参与单位多可自行添加</w:t>
            </w:r>
          </w:p>
        </w:tc>
      </w:tr>
      <w:tr w14:paraId="2FCF28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5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93D4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25F5">
            <w:pPr>
              <w:widowControl/>
              <w:spacing w:line="400" w:lineRule="exact"/>
              <w:ind w:right="-122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联合体参与单位1</w:t>
            </w:r>
          </w:p>
          <w:p w14:paraId="6A3AFEAF">
            <w:pPr>
              <w:widowControl/>
              <w:spacing w:line="400" w:lineRule="exact"/>
              <w:ind w:right="-122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法定代表人签字：</w:t>
            </w:r>
          </w:p>
          <w:p w14:paraId="7883EACB">
            <w:pPr>
              <w:widowControl/>
              <w:spacing w:line="400" w:lineRule="exact"/>
              <w:ind w:right="184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单位：（盖章） </w:t>
            </w:r>
          </w:p>
          <w:p w14:paraId="17C79C4F">
            <w:pPr>
              <w:widowControl/>
              <w:spacing w:line="400" w:lineRule="exact"/>
              <w:ind w:firstLine="112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2F672">
            <w:pPr>
              <w:widowControl/>
              <w:spacing w:line="400" w:lineRule="exact"/>
              <w:ind w:right="-122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联合体参与单位2</w:t>
            </w:r>
          </w:p>
          <w:p w14:paraId="3CC2183E">
            <w:pPr>
              <w:widowControl/>
              <w:spacing w:line="400" w:lineRule="exact"/>
              <w:ind w:right="-122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法定代表人签字：</w:t>
            </w:r>
          </w:p>
          <w:p w14:paraId="4C430D1A">
            <w:pPr>
              <w:widowControl/>
              <w:spacing w:line="400" w:lineRule="exact"/>
              <w:ind w:right="184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单位：（盖章）</w:t>
            </w:r>
          </w:p>
          <w:p w14:paraId="03F11E72">
            <w:pPr>
              <w:widowControl/>
              <w:spacing w:line="400" w:lineRule="exact"/>
              <w:ind w:firstLine="112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</w:tc>
      </w:tr>
    </w:tbl>
    <w:p w14:paraId="430F6CA0"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CF51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0CE2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E5F6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D95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项目承诺函</w:t>
      </w:r>
    </w:p>
    <w:p w14:paraId="6B0FD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E06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申请作物种质资源鉴定改良应用项目所提交的申报材料均真实有效，并愿意承担因提供虚假材料所导致的一切法律后果。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项目单位能带领参与单位与国家及省级库（圃）对接，准确确定种质资源鉴定对象，确保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已完成鉴定的种质资源不重复鉴定。鉴定数据统一纳入吉林省农作物种质资源保护与利用中心数据库，并根据国家要求纳入国家平台。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对项目实施后形成的数据信息等成果，应按照国家有关规定规范管理和使用。未经允许不得向外公布种质资源鉴定改良创制相关数据。</w:t>
      </w:r>
    </w:p>
    <w:p w14:paraId="26B29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7DD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项目单位：（法定代表人签字、公章）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252C5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参与单位1：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（法定代表人签字、公章）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1ECCF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参与单位2：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（法定代表人签字、公章）</w:t>
      </w:r>
    </w:p>
    <w:p w14:paraId="17DE3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2F1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785B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EDA7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64F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FD2D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4"/>
        </w:rPr>
      </w:pPr>
    </w:p>
    <w:p w14:paraId="17DE3E8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lang w:eastAsia="zh-CN"/>
        </w:rPr>
      </w:pPr>
    </w:p>
    <w:p w14:paraId="4BA71D0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lang w:eastAsia="zh-CN"/>
        </w:rPr>
      </w:pPr>
    </w:p>
    <w:p w14:paraId="0E2025C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eastAsia="zh-CN"/>
        </w:rPr>
        <w:t>吉林省</w:t>
      </w:r>
      <w:r>
        <w:rPr>
          <w:rFonts w:hint="default" w:ascii="Times New Roman" w:hAnsi="Times New Roman" w:eastAsia="方正小标宋简体" w:cs="Times New Roman"/>
          <w:sz w:val="44"/>
        </w:rPr>
        <w:t>作物种质资源鉴定改良应用项目</w:t>
      </w:r>
    </w:p>
    <w:p w14:paraId="4E79D3B3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实施方案</w:t>
      </w:r>
    </w:p>
    <w:p w14:paraId="146E72ED">
      <w:pPr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962E79C"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项目概述（种质资源总体数量情况，如何确定种质资源对象等）</w:t>
      </w:r>
    </w:p>
    <w:p w14:paraId="553096EB"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A18DF94"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二、项目内容与目标（目标、实施内容、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预期成果、</w:t>
      </w:r>
      <w:r>
        <w:rPr>
          <w:rFonts w:hint="default" w:ascii="Times New Roman" w:hAnsi="Times New Roman" w:eastAsia="黑体" w:cs="Times New Roman"/>
          <w:sz w:val="32"/>
          <w:szCs w:val="32"/>
        </w:rPr>
        <w:t>技术路线、阶段性工作计划、年度考核指标等）</w:t>
      </w:r>
    </w:p>
    <w:p w14:paraId="46BE9F7B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78018EB"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三、项目成员与分工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（应包括姓名、性别、身份证号、学历、学位、职称，是否为单位正式在职人员、现从事专业，项目中承担的主要工作等）</w:t>
      </w:r>
    </w:p>
    <w:p w14:paraId="6500B49A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3CD4EE1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34220167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07639C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2E57D970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285FF2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3963E0AF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55E22A04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7C5E5CDA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5B634F0F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4CB3EA01">
      <w:pPr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经费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预算明细表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482"/>
        <w:gridCol w:w="3121"/>
      </w:tblGrid>
      <w:tr w14:paraId="01F5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019" w:type="dxa"/>
            <w:vAlign w:val="center"/>
          </w:tcPr>
          <w:p w14:paraId="491B9F1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支出项目名称</w:t>
            </w:r>
          </w:p>
        </w:tc>
        <w:tc>
          <w:tcPr>
            <w:tcW w:w="2564" w:type="dxa"/>
            <w:vAlign w:val="center"/>
          </w:tcPr>
          <w:p w14:paraId="7438B1F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3251" w:type="dxa"/>
            <w:vAlign w:val="center"/>
          </w:tcPr>
          <w:p w14:paraId="6972A8F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说明</w:t>
            </w:r>
          </w:p>
        </w:tc>
      </w:tr>
      <w:tr w14:paraId="2EAA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9" w:type="dxa"/>
            <w:vAlign w:val="center"/>
          </w:tcPr>
          <w:p w14:paraId="10741879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印刷费</w:t>
            </w:r>
          </w:p>
        </w:tc>
        <w:tc>
          <w:tcPr>
            <w:tcW w:w="2564" w:type="dxa"/>
            <w:vAlign w:val="center"/>
          </w:tcPr>
          <w:p w14:paraId="277AEC96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4C758424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0E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019" w:type="dxa"/>
            <w:vAlign w:val="center"/>
          </w:tcPr>
          <w:p w14:paraId="1D6B1DA1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咨询费</w:t>
            </w:r>
          </w:p>
        </w:tc>
        <w:tc>
          <w:tcPr>
            <w:tcW w:w="2564" w:type="dxa"/>
            <w:vAlign w:val="center"/>
          </w:tcPr>
          <w:p w14:paraId="75651DB2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3AA05BA2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9C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019" w:type="dxa"/>
            <w:vAlign w:val="center"/>
          </w:tcPr>
          <w:p w14:paraId="7C79D998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劳务费</w:t>
            </w:r>
          </w:p>
        </w:tc>
        <w:tc>
          <w:tcPr>
            <w:tcW w:w="2564" w:type="dxa"/>
            <w:vAlign w:val="center"/>
          </w:tcPr>
          <w:p w14:paraId="560AD528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348B2CEC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AB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019" w:type="dxa"/>
            <w:vAlign w:val="center"/>
          </w:tcPr>
          <w:p w14:paraId="1FEA94A1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材料费</w:t>
            </w:r>
          </w:p>
        </w:tc>
        <w:tc>
          <w:tcPr>
            <w:tcW w:w="2564" w:type="dxa"/>
            <w:vAlign w:val="center"/>
          </w:tcPr>
          <w:p w14:paraId="53E4ED66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39E43AF8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96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019" w:type="dxa"/>
            <w:vAlign w:val="center"/>
          </w:tcPr>
          <w:p w14:paraId="21D2378F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测算加工费</w:t>
            </w:r>
          </w:p>
        </w:tc>
        <w:tc>
          <w:tcPr>
            <w:tcW w:w="2564" w:type="dxa"/>
            <w:vAlign w:val="center"/>
          </w:tcPr>
          <w:p w14:paraId="2DA1EB13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60AFF191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F6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019" w:type="dxa"/>
            <w:vAlign w:val="center"/>
          </w:tcPr>
          <w:p w14:paraId="7D3CEC8F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差旅费</w:t>
            </w:r>
          </w:p>
        </w:tc>
        <w:tc>
          <w:tcPr>
            <w:tcW w:w="2564" w:type="dxa"/>
            <w:vAlign w:val="center"/>
          </w:tcPr>
          <w:p w14:paraId="20F2D9D1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5EA159D6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15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019" w:type="dxa"/>
            <w:vAlign w:val="center"/>
          </w:tcPr>
          <w:p w14:paraId="41CA13AA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其他支出</w:t>
            </w:r>
          </w:p>
        </w:tc>
        <w:tc>
          <w:tcPr>
            <w:tcW w:w="2564" w:type="dxa"/>
            <w:vAlign w:val="center"/>
          </w:tcPr>
          <w:p w14:paraId="167E9745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37CA4E51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F4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019" w:type="dxa"/>
            <w:vAlign w:val="center"/>
          </w:tcPr>
          <w:p w14:paraId="6335C5B7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564" w:type="dxa"/>
            <w:vAlign w:val="center"/>
          </w:tcPr>
          <w:p w14:paraId="68F057F3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vAlign w:val="center"/>
          </w:tcPr>
          <w:p w14:paraId="3FE9868B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D8F8E5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D6599"/>
    <w:multiLevelType w:val="singleLevel"/>
    <w:tmpl w:val="CB0D659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2FB846"/>
    <w:multiLevelType w:val="singleLevel"/>
    <w:tmpl w:val="F82FB84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2026-03-27T08:23:55Z</dcterms:created>
  <dc:creator>林天天</dc:creator>
  <cp:lastModifiedBy>天天</cp:lastModifiedBy>
  <dcterms:modified xsi:type="dcterms:W3CDTF">2026-03-27T08:24:20Z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25489740B94F4132B89295080C603A61_12</vt:lpwstr>
  </property>
</Properties>
</file>