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sz w:val="44"/>
          <w:szCs w:val="44"/>
          <w:lang w:val="en-US" w:eastAsia="zh-CN"/>
        </w:rPr>
        <w:t>项目融资方案提纲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明确项目建设背景、政策支持、建设内容、进度安排、生产条件、实施方式、运营方案等。通过打捆打包方式开展的项目，要特别注意建设内容之间的内在关联性。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明确实施主体的股权结构、组织架构、资产负债、经营能力、技术实力等情况，以及项目开展与现有资产的战略协同作用和对企业发展的促进作用。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三、投资估算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项目投资周期、基础单价等测算依据，估算项目总投资、分项投资、分年投资等。明确项目资本金筹集方式、规模和比例，估算自有资金成本。明确项目融资来源及渠道，包括拟申请的贷款规模、比例及可接受的利率区间等，估算资金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四、财务分析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根据项目性质，确定适合的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。围绕项目建设内容开展整体财务测算，估算项目营业收入、补贴性收入及各种成本费用，明确项目总成本和预期收益。论证包括项目相关收益覆盖投入成本（含融资成本）的合理性，通过项目自身的盈利能力分析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论证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可融资性。明确项目还款来源，包括但不限于项目自身经营性收入，合理预测回款资金流，探索建立稳定多元的贷款偿还渠道。在投资估算基础上，按照审慎原则开展财务收支估算，明确项目还本付息计划。梳理相关资源，提出信用结构搭建安排。项目建设和运营期间有财政资金投入的，明确资金投入额度及合规投入方式，不新增地方政府隐性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五、实施保障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围绕提升项目融资运营效率、产品市场品牌价值和主体偿债能力等内容，明确项目实施保障措施、风险防控措施，探索建立实施保障长效机制。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Q0ZmExMTYyZjNkYWFkNDY0MGQ1MGU3NWQwOGUifQ=="/>
  </w:docVars>
  <w:rsids>
    <w:rsidRoot w:val="00000000"/>
    <w:rsid w:val="4B7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2023-07-18T08:13:27Z</dcterms:created>
  <dc:creator>16214</dc:creator>
  <cp:lastModifiedBy>草莓</cp:lastModifiedBy>
  <dcterms:modified xsi:type="dcterms:W3CDTF">2023-07-18T08:14:15Z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E3A90982AFF540B2A21244904067EC00_12</vt:lpwstr>
  </property>
</Properties>
</file>