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20A5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附表:</w:t>
      </w:r>
    </w:p>
    <w:p w14:paraId="32C39222">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《吉林省人参产业条例（修订）》公开征求意见反馈表</w:t>
      </w:r>
    </w:p>
    <w:tbl>
      <w:tblPr>
        <w:tblStyle w:val="4"/>
        <w:tblW w:w="14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321"/>
        <w:gridCol w:w="737"/>
        <w:gridCol w:w="7994"/>
        <w:gridCol w:w="1416"/>
        <w:gridCol w:w="1814"/>
      </w:tblGrid>
      <w:tr w14:paraId="152C4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94" w:type="dxa"/>
            <w:vAlign w:val="center"/>
          </w:tcPr>
          <w:p w14:paraId="59E8EE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1321" w:type="dxa"/>
            <w:vAlign w:val="center"/>
          </w:tcPr>
          <w:p w14:paraId="0D274C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提出单位（个人）</w:t>
            </w:r>
          </w:p>
        </w:tc>
        <w:tc>
          <w:tcPr>
            <w:tcW w:w="737" w:type="dxa"/>
            <w:vAlign w:val="center"/>
          </w:tcPr>
          <w:p w14:paraId="68202E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7994" w:type="dxa"/>
            <w:vAlign w:val="center"/>
          </w:tcPr>
          <w:p w14:paraId="2D4BBD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意见内容</w:t>
            </w:r>
          </w:p>
        </w:tc>
        <w:tc>
          <w:tcPr>
            <w:tcW w:w="1416" w:type="dxa"/>
            <w:vAlign w:val="center"/>
          </w:tcPr>
          <w:p w14:paraId="086617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处理意见</w:t>
            </w:r>
          </w:p>
        </w:tc>
        <w:tc>
          <w:tcPr>
            <w:tcW w:w="1814" w:type="dxa"/>
            <w:vAlign w:val="center"/>
          </w:tcPr>
          <w:p w14:paraId="33D2C0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备  注</w:t>
            </w:r>
          </w:p>
          <w:p w14:paraId="1ED9A6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4"/>
                <w:szCs w:val="24"/>
                <w:vertAlign w:val="baseline"/>
                <w:lang w:val="en-US" w:eastAsia="zh-CN"/>
              </w:rPr>
              <w:t>（未采纳理由）</w:t>
            </w:r>
          </w:p>
        </w:tc>
      </w:tr>
      <w:tr w14:paraId="3288D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67CFE234">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jc w:val="center"/>
              <w:textAlignment w:val="auto"/>
              <w:rPr>
                <w:rFonts w:hint="eastAsia" w:ascii="宋体" w:hAnsi="宋体" w:eastAsia="宋体" w:cs="宋体"/>
                <w:b w:val="0"/>
                <w:bCs w:val="0"/>
                <w:sz w:val="24"/>
                <w:szCs w:val="24"/>
                <w:vertAlign w:val="baseline"/>
                <w:lang w:val="en-US" w:eastAsia="zh-CN"/>
              </w:rPr>
            </w:pPr>
          </w:p>
        </w:tc>
        <w:tc>
          <w:tcPr>
            <w:tcW w:w="1321" w:type="dxa"/>
            <w:vMerge w:val="restart"/>
            <w:vAlign w:val="center"/>
          </w:tcPr>
          <w:p w14:paraId="2487EFE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益盛药业</w:t>
            </w:r>
          </w:p>
        </w:tc>
        <w:tc>
          <w:tcPr>
            <w:tcW w:w="737" w:type="dxa"/>
            <w:vAlign w:val="center"/>
          </w:tcPr>
          <w:p w14:paraId="6BD8B0C7">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7994" w:type="dxa"/>
            <w:vAlign w:val="center"/>
          </w:tcPr>
          <w:p w14:paraId="5FCD3B38">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第一章 第三条 对“人参”的定义与《药典》（2020版)人参定义冲突，建议参照与《药典》（2020版)修改本条内容</w:t>
            </w:r>
          </w:p>
        </w:tc>
        <w:tc>
          <w:tcPr>
            <w:tcW w:w="1416" w:type="dxa"/>
            <w:vAlign w:val="center"/>
          </w:tcPr>
          <w:p w14:paraId="743741A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未采纳</w:t>
            </w:r>
          </w:p>
        </w:tc>
        <w:tc>
          <w:tcPr>
            <w:tcW w:w="1814" w:type="dxa"/>
            <w:vAlign w:val="center"/>
          </w:tcPr>
          <w:p w14:paraId="29F9E96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药典针对人参入药，产业条例人参应用范围为全产业链</w:t>
            </w:r>
          </w:p>
        </w:tc>
      </w:tr>
      <w:tr w14:paraId="5632B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59639F36">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jc w:val="center"/>
              <w:textAlignment w:val="auto"/>
              <w:rPr>
                <w:rFonts w:hint="eastAsia" w:ascii="宋体" w:hAnsi="宋体" w:eastAsia="宋体" w:cs="宋体"/>
                <w:b w:val="0"/>
                <w:bCs w:val="0"/>
                <w:sz w:val="24"/>
                <w:szCs w:val="24"/>
                <w:vertAlign w:val="baseline"/>
                <w:lang w:val="en-US" w:eastAsia="zh-CN"/>
              </w:rPr>
            </w:pPr>
          </w:p>
        </w:tc>
        <w:tc>
          <w:tcPr>
            <w:tcW w:w="1321" w:type="dxa"/>
            <w:vMerge w:val="continue"/>
            <w:vAlign w:val="center"/>
          </w:tcPr>
          <w:p w14:paraId="773517C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p>
        </w:tc>
        <w:tc>
          <w:tcPr>
            <w:tcW w:w="737" w:type="dxa"/>
            <w:vAlign w:val="center"/>
          </w:tcPr>
          <w:p w14:paraId="0101DB74">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7994" w:type="dxa"/>
            <w:vAlign w:val="center"/>
          </w:tcPr>
          <w:p w14:paraId="6EC89D6C">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第三章 种植管理 建议本章增加内容：非林地人参种植既能保护土地资源，目前省内也已经有以龙头企业为代表的、较为成熟的技术体系可以应用，建议本章增加支持非林地人参种植的相关内容，并细化相关技术和管理要求，确保全面覆盖各类种植者，并合理规划土地使用，非林地人参标准化种植规程的科学制定要采纳龙头企业的意见。</w:t>
            </w:r>
          </w:p>
        </w:tc>
        <w:tc>
          <w:tcPr>
            <w:tcW w:w="1416" w:type="dxa"/>
            <w:vAlign w:val="center"/>
          </w:tcPr>
          <w:p w14:paraId="41ACD543">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未采纳</w:t>
            </w:r>
          </w:p>
        </w:tc>
        <w:tc>
          <w:tcPr>
            <w:tcW w:w="1814" w:type="dxa"/>
            <w:vAlign w:val="center"/>
          </w:tcPr>
          <w:p w14:paraId="365FF77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不符合产业发展要求</w:t>
            </w:r>
          </w:p>
        </w:tc>
      </w:tr>
      <w:tr w14:paraId="2BD31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7E200D70">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jc w:val="center"/>
              <w:textAlignment w:val="auto"/>
              <w:rPr>
                <w:rFonts w:hint="eastAsia" w:ascii="宋体" w:hAnsi="宋体" w:eastAsia="宋体" w:cs="宋体"/>
                <w:b w:val="0"/>
                <w:bCs w:val="0"/>
                <w:sz w:val="24"/>
                <w:szCs w:val="24"/>
                <w:vertAlign w:val="baseline"/>
                <w:lang w:val="en-US" w:eastAsia="zh-CN"/>
              </w:rPr>
            </w:pPr>
          </w:p>
        </w:tc>
        <w:tc>
          <w:tcPr>
            <w:tcW w:w="1321" w:type="dxa"/>
            <w:vMerge w:val="continue"/>
            <w:vAlign w:val="center"/>
          </w:tcPr>
          <w:p w14:paraId="085B19F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p>
        </w:tc>
        <w:tc>
          <w:tcPr>
            <w:tcW w:w="737" w:type="dxa"/>
            <w:vAlign w:val="center"/>
          </w:tcPr>
          <w:p w14:paraId="09DA40A9">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7994" w:type="dxa"/>
            <w:vAlign w:val="center"/>
          </w:tcPr>
          <w:p w14:paraId="2C53B228">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第三章 种植管理 第十八条  由于一般耕地不足以满足非林地人参种植发展的需求，建议将本条修改为“因地制宜，对适合人参种植的县市（区域）调补平衡一般耕地和永久基本农田的面积。”</w:t>
            </w:r>
          </w:p>
        </w:tc>
        <w:tc>
          <w:tcPr>
            <w:tcW w:w="1416" w:type="dxa"/>
            <w:vAlign w:val="center"/>
          </w:tcPr>
          <w:p w14:paraId="0AF7191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未采纳</w:t>
            </w:r>
          </w:p>
        </w:tc>
        <w:tc>
          <w:tcPr>
            <w:tcW w:w="1814" w:type="dxa"/>
            <w:vAlign w:val="center"/>
          </w:tcPr>
          <w:p w14:paraId="17147B2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永久基本农田不能种植人参，与政策不符</w:t>
            </w:r>
          </w:p>
        </w:tc>
      </w:tr>
      <w:tr w14:paraId="04A4C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56097428">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jc w:val="center"/>
              <w:textAlignment w:val="auto"/>
              <w:rPr>
                <w:rFonts w:hint="eastAsia" w:ascii="宋体" w:hAnsi="宋体" w:eastAsia="宋体" w:cs="宋体"/>
                <w:b w:val="0"/>
                <w:bCs w:val="0"/>
                <w:sz w:val="24"/>
                <w:szCs w:val="24"/>
                <w:vertAlign w:val="baseline"/>
                <w:lang w:val="en-US" w:eastAsia="zh-CN"/>
              </w:rPr>
            </w:pPr>
          </w:p>
        </w:tc>
        <w:tc>
          <w:tcPr>
            <w:tcW w:w="1321" w:type="dxa"/>
            <w:vMerge w:val="continue"/>
            <w:vAlign w:val="center"/>
          </w:tcPr>
          <w:p w14:paraId="5F2329B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p>
        </w:tc>
        <w:tc>
          <w:tcPr>
            <w:tcW w:w="737" w:type="dxa"/>
            <w:vAlign w:val="center"/>
          </w:tcPr>
          <w:p w14:paraId="6DE0FF4A">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p>
        </w:tc>
        <w:tc>
          <w:tcPr>
            <w:tcW w:w="7994" w:type="dxa"/>
            <w:vAlign w:val="center"/>
          </w:tcPr>
          <w:p w14:paraId="3FBAA7BE">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第四章 加工经营（工艺流程）建议将人参的加工环节市场营销环节分立为两个章节。第二十二条  建议修改为以园参、林下参为原料的食品和保健品，应当注明生长年生。</w:t>
            </w:r>
          </w:p>
        </w:tc>
        <w:tc>
          <w:tcPr>
            <w:tcW w:w="1416" w:type="dxa"/>
            <w:vAlign w:val="center"/>
          </w:tcPr>
          <w:p w14:paraId="07272EEE">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未采纳</w:t>
            </w:r>
          </w:p>
        </w:tc>
        <w:tc>
          <w:tcPr>
            <w:tcW w:w="1814" w:type="dxa"/>
            <w:vAlign w:val="center"/>
          </w:tcPr>
          <w:p w14:paraId="5395DD3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加工、经营分章表述内容不足，难以支撑独立成章</w:t>
            </w:r>
          </w:p>
        </w:tc>
      </w:tr>
      <w:tr w14:paraId="6A4A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67CA9D23">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jc w:val="center"/>
              <w:textAlignment w:val="auto"/>
              <w:rPr>
                <w:rFonts w:hint="eastAsia" w:ascii="宋体" w:hAnsi="宋体" w:eastAsia="宋体" w:cs="宋体"/>
                <w:b w:val="0"/>
                <w:bCs w:val="0"/>
                <w:sz w:val="24"/>
                <w:szCs w:val="24"/>
                <w:vertAlign w:val="baseline"/>
                <w:lang w:val="en-US" w:eastAsia="zh-CN"/>
              </w:rPr>
            </w:pPr>
          </w:p>
        </w:tc>
        <w:tc>
          <w:tcPr>
            <w:tcW w:w="1321" w:type="dxa"/>
            <w:vMerge w:val="continue"/>
            <w:vAlign w:val="center"/>
          </w:tcPr>
          <w:p w14:paraId="7E3EA08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p>
        </w:tc>
        <w:tc>
          <w:tcPr>
            <w:tcW w:w="737" w:type="dxa"/>
            <w:vAlign w:val="center"/>
          </w:tcPr>
          <w:p w14:paraId="23136CC8">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7994" w:type="dxa"/>
            <w:vAlign w:val="center"/>
          </w:tcPr>
          <w:p w14:paraId="095A17AA">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第五章 质量管理  建议本章中增加内容：监督抽查的单位和个人应广泛，同时在人参标准体系中增加对园参的等级划分，严禁不符合地方标准的人参及其产品上市流通。</w:t>
            </w:r>
          </w:p>
        </w:tc>
        <w:tc>
          <w:tcPr>
            <w:tcW w:w="1416" w:type="dxa"/>
            <w:vAlign w:val="center"/>
          </w:tcPr>
          <w:p w14:paraId="49C38271">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未采纳</w:t>
            </w:r>
          </w:p>
        </w:tc>
        <w:tc>
          <w:tcPr>
            <w:tcW w:w="1814" w:type="dxa"/>
            <w:vAlign w:val="center"/>
          </w:tcPr>
          <w:p w14:paraId="6552FE4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地方标准为推荐性标准，没有强制性</w:t>
            </w:r>
          </w:p>
        </w:tc>
      </w:tr>
      <w:tr w14:paraId="49375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0B1BE935">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jc w:val="center"/>
              <w:textAlignment w:val="auto"/>
              <w:rPr>
                <w:rFonts w:hint="eastAsia" w:ascii="宋体" w:hAnsi="宋体" w:eastAsia="宋体" w:cs="宋体"/>
                <w:b w:val="0"/>
                <w:bCs w:val="0"/>
                <w:sz w:val="24"/>
                <w:szCs w:val="24"/>
                <w:vertAlign w:val="baseline"/>
                <w:lang w:val="en-US" w:eastAsia="zh-CN"/>
              </w:rPr>
            </w:pPr>
          </w:p>
        </w:tc>
        <w:tc>
          <w:tcPr>
            <w:tcW w:w="1321" w:type="dxa"/>
            <w:vMerge w:val="continue"/>
            <w:vAlign w:val="center"/>
          </w:tcPr>
          <w:p w14:paraId="4BF24DA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p>
        </w:tc>
        <w:tc>
          <w:tcPr>
            <w:tcW w:w="737" w:type="dxa"/>
            <w:vAlign w:val="center"/>
          </w:tcPr>
          <w:p w14:paraId="53460FD3">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w:t>
            </w:r>
          </w:p>
        </w:tc>
        <w:tc>
          <w:tcPr>
            <w:tcW w:w="7994" w:type="dxa"/>
            <w:vAlign w:val="center"/>
          </w:tcPr>
          <w:p w14:paraId="5FB041AD">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第五章 质量管理  第三十四条 未对人参检验检测机构作出明确界定，建议具备检验检测条件的生产企业纳入范围。</w:t>
            </w:r>
          </w:p>
        </w:tc>
        <w:tc>
          <w:tcPr>
            <w:tcW w:w="1416" w:type="dxa"/>
            <w:vAlign w:val="center"/>
          </w:tcPr>
          <w:p w14:paraId="679877B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未采纳</w:t>
            </w:r>
          </w:p>
        </w:tc>
        <w:tc>
          <w:tcPr>
            <w:tcW w:w="1814" w:type="dxa"/>
            <w:vAlign w:val="center"/>
          </w:tcPr>
          <w:p w14:paraId="28A2A92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市场部门另有规定，条例不规定此项内容</w:t>
            </w:r>
          </w:p>
        </w:tc>
      </w:tr>
      <w:tr w14:paraId="4A01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037F9258">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jc w:val="center"/>
              <w:textAlignment w:val="auto"/>
              <w:rPr>
                <w:rFonts w:hint="eastAsia" w:ascii="宋体" w:hAnsi="宋体" w:eastAsia="宋体" w:cs="宋体"/>
                <w:b w:val="0"/>
                <w:bCs w:val="0"/>
                <w:sz w:val="24"/>
                <w:szCs w:val="24"/>
                <w:vertAlign w:val="baseline"/>
                <w:lang w:val="en-US" w:eastAsia="zh-CN"/>
              </w:rPr>
            </w:pPr>
          </w:p>
        </w:tc>
        <w:tc>
          <w:tcPr>
            <w:tcW w:w="1321" w:type="dxa"/>
            <w:vMerge w:val="continue"/>
            <w:vAlign w:val="center"/>
          </w:tcPr>
          <w:p w14:paraId="14F8E48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p>
        </w:tc>
        <w:tc>
          <w:tcPr>
            <w:tcW w:w="737" w:type="dxa"/>
            <w:vAlign w:val="center"/>
          </w:tcPr>
          <w:p w14:paraId="65850727">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w:t>
            </w:r>
          </w:p>
        </w:tc>
        <w:tc>
          <w:tcPr>
            <w:tcW w:w="7994" w:type="dxa"/>
            <w:vAlign w:val="center"/>
          </w:tcPr>
          <w:p w14:paraId="35501A89">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第六章 产业扶持  建议条例（第六章 产业扶持）特别关注特色精深加工人参产品的科技创新和产业升级。鼓励企业加大研发投入，支持新品种选育、新技术开发以及产品创新，扩大科研成果认定的时间范围，给予已产生经济效益的成果转化予以事后补助，促进人参产业技术进步和产业升级。</w:t>
            </w:r>
          </w:p>
        </w:tc>
        <w:tc>
          <w:tcPr>
            <w:tcW w:w="1416" w:type="dxa"/>
            <w:vAlign w:val="center"/>
          </w:tcPr>
          <w:p w14:paraId="774E60D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未采纳</w:t>
            </w:r>
          </w:p>
        </w:tc>
        <w:tc>
          <w:tcPr>
            <w:tcW w:w="1814" w:type="dxa"/>
            <w:vAlign w:val="center"/>
          </w:tcPr>
          <w:p w14:paraId="48D8F6E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不符合产业发展要求</w:t>
            </w:r>
          </w:p>
        </w:tc>
      </w:tr>
      <w:tr w14:paraId="2F316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380688B0">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jc w:val="center"/>
              <w:textAlignment w:val="auto"/>
              <w:rPr>
                <w:rFonts w:hint="eastAsia" w:ascii="宋体" w:hAnsi="宋体" w:eastAsia="宋体" w:cs="宋体"/>
                <w:b w:val="0"/>
                <w:bCs w:val="0"/>
                <w:sz w:val="24"/>
                <w:szCs w:val="24"/>
                <w:vertAlign w:val="baseline"/>
                <w:lang w:val="en-US" w:eastAsia="zh-CN"/>
              </w:rPr>
            </w:pPr>
          </w:p>
        </w:tc>
        <w:tc>
          <w:tcPr>
            <w:tcW w:w="1321" w:type="dxa"/>
            <w:vMerge w:val="continue"/>
            <w:vAlign w:val="center"/>
          </w:tcPr>
          <w:p w14:paraId="6244137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p>
        </w:tc>
        <w:tc>
          <w:tcPr>
            <w:tcW w:w="737" w:type="dxa"/>
            <w:vAlign w:val="center"/>
          </w:tcPr>
          <w:p w14:paraId="6AAFAA75">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w:t>
            </w:r>
          </w:p>
        </w:tc>
        <w:tc>
          <w:tcPr>
            <w:tcW w:w="7994" w:type="dxa"/>
            <w:vAlign w:val="center"/>
          </w:tcPr>
          <w:p w14:paraId="7D5B6CDA">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第六章 产业扶持  第四十三条 建议</w:t>
            </w:r>
            <w:r>
              <w:rPr>
                <w:rFonts w:hint="eastAsia" w:ascii="宋体" w:hAnsi="宋体" w:eastAsia="宋体" w:cs="宋体"/>
                <w:b/>
                <w:bCs/>
                <w:sz w:val="24"/>
                <w:szCs w:val="24"/>
                <w:vertAlign w:val="baseline"/>
                <w:lang w:val="en-US" w:eastAsia="zh-CN"/>
              </w:rPr>
              <w:t>鼓励人参产业从业企业创建自有品牌</w:t>
            </w:r>
            <w:r>
              <w:rPr>
                <w:rFonts w:hint="eastAsia" w:ascii="宋体" w:hAnsi="宋体" w:eastAsia="宋体" w:cs="宋体"/>
                <w:b w:val="0"/>
                <w:bCs w:val="0"/>
                <w:sz w:val="24"/>
                <w:szCs w:val="24"/>
                <w:vertAlign w:val="baseline"/>
                <w:lang w:val="en-US" w:eastAsia="zh-CN"/>
              </w:rPr>
              <w:t>，在区域公共品牌“长白山人参”品牌项下的企业品牌，获得省级、国家级知名品牌称号的，给予奖励，以支撑区域品牌影响力提升。</w:t>
            </w:r>
          </w:p>
        </w:tc>
        <w:tc>
          <w:tcPr>
            <w:tcW w:w="1416" w:type="dxa"/>
            <w:vAlign w:val="center"/>
          </w:tcPr>
          <w:p w14:paraId="67A9EEB4">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部分采纳</w:t>
            </w:r>
          </w:p>
        </w:tc>
        <w:tc>
          <w:tcPr>
            <w:tcW w:w="1814" w:type="dxa"/>
            <w:vAlign w:val="center"/>
          </w:tcPr>
          <w:p w14:paraId="5C42926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val="en-US" w:eastAsia="zh-CN"/>
              </w:rPr>
            </w:pPr>
          </w:p>
        </w:tc>
      </w:tr>
      <w:tr w14:paraId="2C2CA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64520F2E">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jc w:val="center"/>
              <w:textAlignment w:val="auto"/>
              <w:rPr>
                <w:rFonts w:hint="eastAsia" w:ascii="宋体" w:hAnsi="宋体" w:eastAsia="宋体" w:cs="宋体"/>
                <w:b w:val="0"/>
                <w:bCs w:val="0"/>
                <w:sz w:val="24"/>
                <w:szCs w:val="24"/>
                <w:vertAlign w:val="baseline"/>
                <w:lang w:val="en-US" w:eastAsia="zh-CN"/>
              </w:rPr>
            </w:pPr>
          </w:p>
        </w:tc>
        <w:tc>
          <w:tcPr>
            <w:tcW w:w="1321" w:type="dxa"/>
            <w:vAlign w:val="center"/>
          </w:tcPr>
          <w:p w14:paraId="4142F65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刘佳个人意见</w:t>
            </w:r>
          </w:p>
        </w:tc>
        <w:tc>
          <w:tcPr>
            <w:tcW w:w="737" w:type="dxa"/>
            <w:vAlign w:val="center"/>
          </w:tcPr>
          <w:p w14:paraId="1DA0BEEB">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7994" w:type="dxa"/>
            <w:vAlign w:val="center"/>
          </w:tcPr>
          <w:p w14:paraId="7DB504CB">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第十二条 省人民政府农业农村主管部门会同市场监管部门等相关部门制定人参标准化种植规程。人参种植应当遵守相关法律法规以及人参标准化种植规程。不得使用采伐迹地种植人参。林下参种植应当遵守森林资源保护管理政策规定和技术规程。</w:t>
            </w:r>
          </w:p>
        </w:tc>
        <w:tc>
          <w:tcPr>
            <w:tcW w:w="1416" w:type="dxa"/>
            <w:vAlign w:val="center"/>
          </w:tcPr>
          <w:p w14:paraId="5817176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部分采纳</w:t>
            </w:r>
          </w:p>
        </w:tc>
        <w:tc>
          <w:tcPr>
            <w:tcW w:w="1814" w:type="dxa"/>
            <w:vAlign w:val="center"/>
          </w:tcPr>
          <w:p w14:paraId="5B69215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val="en-US" w:eastAsia="zh-CN"/>
              </w:rPr>
            </w:pPr>
          </w:p>
        </w:tc>
      </w:tr>
      <w:tr w14:paraId="07A5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569AAF49">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jc w:val="center"/>
              <w:textAlignment w:val="auto"/>
              <w:rPr>
                <w:rFonts w:hint="eastAsia" w:ascii="宋体" w:hAnsi="宋体" w:eastAsia="宋体" w:cs="宋体"/>
                <w:b w:val="0"/>
                <w:bCs w:val="0"/>
                <w:sz w:val="24"/>
                <w:szCs w:val="24"/>
                <w:vertAlign w:val="baseline"/>
                <w:lang w:val="en-US" w:eastAsia="zh-CN"/>
              </w:rPr>
            </w:pPr>
          </w:p>
        </w:tc>
        <w:tc>
          <w:tcPr>
            <w:tcW w:w="1321" w:type="dxa"/>
            <w:vAlign w:val="center"/>
          </w:tcPr>
          <w:p w14:paraId="5AB603E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吉林韩正人参有限公司</w:t>
            </w:r>
          </w:p>
        </w:tc>
        <w:tc>
          <w:tcPr>
            <w:tcW w:w="737" w:type="dxa"/>
            <w:vAlign w:val="center"/>
          </w:tcPr>
          <w:p w14:paraId="0DD04316">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7994" w:type="dxa"/>
            <w:vAlign w:val="center"/>
          </w:tcPr>
          <w:p w14:paraId="1EDC4CDE">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原《吉林省人参产业条例》中有对人参加工品：红参、生晒参、大力参、保鲜参的定义，在《吉林省人参产业条例（修订征求意见稿）》中没有保留，《吉林省人参产业条例》是我国首部关于人参产业发展的地方性法规，特别是吉林省其他部门规章条文制定时候的重要参照文件，2013年5月9日由省卫生厅出示公函（吉卫食案函[2013]15号）通报了新资源食品人参产品种类，其中包括生晒参、大力参、保鲜参、红参;2014年吉林省食品安全地方标准《食品原料用人参》也提到了红参、生晒参的概念，因此我公司建议，保留《吉林省人参产业条例》中对于红参等的定义。</w:t>
            </w:r>
          </w:p>
        </w:tc>
        <w:tc>
          <w:tcPr>
            <w:tcW w:w="1416" w:type="dxa"/>
            <w:vAlign w:val="center"/>
          </w:tcPr>
          <w:p w14:paraId="066A981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未采纳</w:t>
            </w:r>
          </w:p>
        </w:tc>
        <w:tc>
          <w:tcPr>
            <w:tcW w:w="1814" w:type="dxa"/>
            <w:vAlign w:val="center"/>
          </w:tcPr>
          <w:p w14:paraId="29102D4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条例中未体现的专有名词不做解释</w:t>
            </w:r>
          </w:p>
        </w:tc>
      </w:tr>
      <w:tr w14:paraId="0CB3C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38FE92FB">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jc w:val="center"/>
              <w:textAlignment w:val="auto"/>
              <w:rPr>
                <w:rFonts w:hint="eastAsia" w:ascii="宋体" w:hAnsi="宋体" w:eastAsia="宋体" w:cs="宋体"/>
                <w:b w:val="0"/>
                <w:bCs w:val="0"/>
                <w:sz w:val="24"/>
                <w:szCs w:val="24"/>
                <w:vertAlign w:val="baseline"/>
                <w:lang w:val="en-US" w:eastAsia="zh-CN"/>
              </w:rPr>
            </w:pPr>
          </w:p>
        </w:tc>
        <w:tc>
          <w:tcPr>
            <w:tcW w:w="1321" w:type="dxa"/>
            <w:vMerge w:val="restart"/>
            <w:vAlign w:val="center"/>
          </w:tcPr>
          <w:p w14:paraId="4E0A021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张亚玉个人意见</w:t>
            </w:r>
          </w:p>
        </w:tc>
        <w:tc>
          <w:tcPr>
            <w:tcW w:w="737" w:type="dxa"/>
            <w:vAlign w:val="center"/>
          </w:tcPr>
          <w:p w14:paraId="043EE9E0">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7994" w:type="dxa"/>
            <w:vAlign w:val="center"/>
          </w:tcPr>
          <w:p w14:paraId="2695FE79">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第九条  省人民政府应当制定措施，科学调整优化人参种植业结构，规范有序发展林下参，推动园参和林下参同步发展。</w:t>
            </w:r>
            <w:r>
              <w:rPr>
                <w:rFonts w:hint="eastAsia"/>
                <w:b w:val="0"/>
                <w:bCs w:val="0"/>
                <w:color w:val="0000FF"/>
                <w:lang w:val="en-US" w:eastAsia="zh-CN"/>
              </w:rPr>
              <w:t>（修改规范有序发展林下种植人参，推动林下种植人参与非林地人参同步发展）</w:t>
            </w:r>
          </w:p>
        </w:tc>
        <w:tc>
          <w:tcPr>
            <w:tcW w:w="1416" w:type="dxa"/>
            <w:vAlign w:val="center"/>
          </w:tcPr>
          <w:p w14:paraId="75F4038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未采纳</w:t>
            </w:r>
          </w:p>
        </w:tc>
        <w:tc>
          <w:tcPr>
            <w:tcW w:w="1814" w:type="dxa"/>
            <w:vAlign w:val="center"/>
          </w:tcPr>
          <w:p w14:paraId="1A54B3E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不符合要求</w:t>
            </w:r>
          </w:p>
        </w:tc>
      </w:tr>
      <w:tr w14:paraId="26E5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6A38F36C">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jc w:val="center"/>
              <w:textAlignment w:val="auto"/>
              <w:rPr>
                <w:rFonts w:hint="eastAsia" w:ascii="宋体" w:hAnsi="宋体" w:eastAsia="宋体" w:cs="宋体"/>
                <w:b w:val="0"/>
                <w:bCs w:val="0"/>
                <w:sz w:val="24"/>
                <w:szCs w:val="24"/>
                <w:vertAlign w:val="baseline"/>
                <w:lang w:val="en-US" w:eastAsia="zh-CN"/>
              </w:rPr>
            </w:pPr>
          </w:p>
        </w:tc>
        <w:tc>
          <w:tcPr>
            <w:tcW w:w="1321" w:type="dxa"/>
            <w:vMerge w:val="continue"/>
            <w:vAlign w:val="center"/>
          </w:tcPr>
          <w:p w14:paraId="1D94118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p>
        </w:tc>
        <w:tc>
          <w:tcPr>
            <w:tcW w:w="737" w:type="dxa"/>
            <w:vAlign w:val="center"/>
          </w:tcPr>
          <w:p w14:paraId="7A12FB96">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7994" w:type="dxa"/>
            <w:vAlign w:val="center"/>
          </w:tcPr>
          <w:p w14:paraId="77C9463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宋体" w:hAnsi="宋体" w:eastAsia="宋体" w:cs="宋体"/>
                <w:b w:val="0"/>
                <w:bCs w:val="0"/>
                <w:kern w:val="0"/>
                <w:sz w:val="24"/>
                <w:szCs w:val="24"/>
                <w:lang w:val="en-US" w:eastAsia="zh-CN" w:bidi="ar"/>
              </w:rPr>
            </w:pPr>
            <w:r>
              <w:rPr>
                <w:rFonts w:ascii="宋体" w:hAnsi="宋体" w:eastAsia="宋体" w:cs="宋体"/>
                <w:b w:val="0"/>
                <w:bCs w:val="0"/>
                <w:kern w:val="0"/>
                <w:sz w:val="24"/>
                <w:szCs w:val="24"/>
                <w:lang w:val="en-US" w:eastAsia="zh-CN" w:bidi="ar"/>
              </w:rPr>
              <w:t>第十二条  省人民政府农业农村主管部门会同市场监管部门等相关部门制定人参标准化种植规程。人参种植应当遵守相关法律法规以及人参标准化种植规程。不得使用采伐迹地种植人参。林下参</w:t>
            </w:r>
            <w:r>
              <w:rPr>
                <w:rFonts w:hint="eastAsia"/>
                <w:b w:val="0"/>
                <w:bCs w:val="0"/>
                <w:lang w:eastAsia="zh-CN"/>
              </w:rPr>
              <w:t>（修改为林下人参）</w:t>
            </w:r>
            <w:r>
              <w:rPr>
                <w:rFonts w:ascii="宋体" w:hAnsi="宋体" w:eastAsia="宋体" w:cs="宋体"/>
                <w:b w:val="0"/>
                <w:bCs w:val="0"/>
                <w:kern w:val="0"/>
                <w:sz w:val="24"/>
                <w:szCs w:val="24"/>
                <w:lang w:val="en-US" w:eastAsia="zh-CN" w:bidi="ar"/>
              </w:rPr>
              <w:t>种植应当遵守森林资源保护管理政策规定和技术规程。</w:t>
            </w:r>
          </w:p>
          <w:p w14:paraId="72A4C2E8">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vertAlign w:val="baseline"/>
                <w:lang w:val="en-US" w:eastAsia="zh-CN"/>
              </w:rPr>
            </w:pPr>
            <w:r>
              <w:rPr>
                <w:rFonts w:ascii="宋体" w:hAnsi="宋体" w:eastAsia="宋体" w:cs="宋体"/>
                <w:b w:val="0"/>
                <w:bCs w:val="0"/>
                <w:kern w:val="0"/>
                <w:sz w:val="24"/>
                <w:szCs w:val="24"/>
                <w:lang w:val="en-US" w:eastAsia="zh-CN" w:bidi="ar"/>
              </w:rPr>
              <w:t>人参种植用地的土壤、水源和大气等环境，应当符合人参标准化种植规定的人参种植标准和要求</w:t>
            </w:r>
            <w:r>
              <w:rPr>
                <w:rFonts w:hint="eastAsia"/>
                <w:b w:val="0"/>
                <w:bCs w:val="0"/>
                <w:color w:val="0000FF"/>
                <w:lang w:eastAsia="zh-CN"/>
              </w:rPr>
              <w:t>（修改为</w:t>
            </w:r>
            <w:r>
              <w:rPr>
                <w:rFonts w:hint="eastAsia"/>
                <w:b w:val="0"/>
                <w:bCs w:val="0"/>
                <w:color w:val="0000FF"/>
                <w:lang w:val="en-US" w:eastAsia="zh-CN"/>
              </w:rPr>
              <w:t>应当符合人参标准化种植相关规定</w:t>
            </w:r>
            <w:r>
              <w:rPr>
                <w:rFonts w:hint="eastAsia"/>
                <w:b w:val="0"/>
                <w:bCs w:val="0"/>
                <w:color w:val="0000FF"/>
                <w:lang w:eastAsia="zh-CN"/>
              </w:rPr>
              <w:t>）</w:t>
            </w:r>
            <w:r>
              <w:rPr>
                <w:rFonts w:ascii="宋体" w:hAnsi="宋体" w:eastAsia="宋体" w:cs="宋体"/>
                <w:b w:val="0"/>
                <w:bCs w:val="0"/>
                <w:kern w:val="0"/>
                <w:sz w:val="24"/>
                <w:szCs w:val="24"/>
                <w:lang w:val="en-US" w:eastAsia="zh-CN" w:bidi="ar"/>
              </w:rPr>
              <w:t>。林下参</w:t>
            </w:r>
            <w:r>
              <w:rPr>
                <w:rFonts w:hint="eastAsia"/>
                <w:b w:val="0"/>
                <w:bCs w:val="0"/>
                <w:lang w:eastAsia="zh-CN"/>
              </w:rPr>
              <w:t>（修改为林下人参）</w:t>
            </w:r>
            <w:r>
              <w:rPr>
                <w:rFonts w:ascii="宋体" w:hAnsi="宋体" w:eastAsia="宋体" w:cs="宋体"/>
                <w:b w:val="0"/>
                <w:bCs w:val="0"/>
                <w:kern w:val="0"/>
                <w:sz w:val="24"/>
                <w:szCs w:val="24"/>
                <w:lang w:val="en-US" w:eastAsia="zh-CN" w:bidi="ar"/>
              </w:rPr>
              <w:t>种植优先利用已成林的人工商品林地。</w:t>
            </w:r>
          </w:p>
        </w:tc>
        <w:tc>
          <w:tcPr>
            <w:tcW w:w="1416" w:type="dxa"/>
            <w:vAlign w:val="center"/>
          </w:tcPr>
          <w:p w14:paraId="5A3C51FA">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未采纳</w:t>
            </w:r>
          </w:p>
        </w:tc>
        <w:tc>
          <w:tcPr>
            <w:tcW w:w="1814" w:type="dxa"/>
            <w:vAlign w:val="center"/>
          </w:tcPr>
          <w:p w14:paraId="2914F27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理由不充分</w:t>
            </w:r>
          </w:p>
        </w:tc>
      </w:tr>
      <w:tr w14:paraId="299DE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77661BE7">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jc w:val="center"/>
              <w:textAlignment w:val="auto"/>
              <w:rPr>
                <w:rFonts w:hint="eastAsia" w:ascii="宋体" w:hAnsi="宋体" w:eastAsia="宋体" w:cs="宋体"/>
                <w:b w:val="0"/>
                <w:bCs w:val="0"/>
                <w:sz w:val="24"/>
                <w:szCs w:val="24"/>
                <w:vertAlign w:val="baseline"/>
                <w:lang w:val="en-US" w:eastAsia="zh-CN"/>
              </w:rPr>
            </w:pPr>
          </w:p>
        </w:tc>
        <w:tc>
          <w:tcPr>
            <w:tcW w:w="1321" w:type="dxa"/>
            <w:vMerge w:val="continue"/>
            <w:vAlign w:val="center"/>
          </w:tcPr>
          <w:p w14:paraId="3A57613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p>
        </w:tc>
        <w:tc>
          <w:tcPr>
            <w:tcW w:w="737" w:type="dxa"/>
            <w:vAlign w:val="center"/>
          </w:tcPr>
          <w:p w14:paraId="251346F5">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7994" w:type="dxa"/>
            <w:vAlign w:val="center"/>
          </w:tcPr>
          <w:p w14:paraId="26D82C29">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4"/>
                <w:szCs w:val="24"/>
                <w:vertAlign w:val="baseline"/>
                <w:lang w:val="en-US" w:eastAsia="zh-CN"/>
              </w:rPr>
            </w:pPr>
            <w:r>
              <w:rPr>
                <w:rFonts w:ascii="宋体" w:hAnsi="宋体" w:eastAsia="宋体" w:cs="宋体"/>
                <w:b w:val="0"/>
                <w:bCs w:val="0"/>
                <w:kern w:val="0"/>
                <w:sz w:val="24"/>
                <w:szCs w:val="24"/>
                <w:lang w:val="en-US" w:eastAsia="zh-CN" w:bidi="ar"/>
              </w:rPr>
              <w:t>第十三条  人参种植实行登记备案制管理。人参种植者应当将人参种植地块、面积、品类、品种、</w:t>
            </w:r>
            <w:r>
              <w:rPr>
                <w:rFonts w:hint="eastAsia"/>
                <w:b w:val="0"/>
                <w:bCs w:val="0"/>
                <w:color w:val="0000FF"/>
                <w:lang w:eastAsia="zh-CN"/>
              </w:rPr>
              <w:t>（修改为</w:t>
            </w:r>
            <w:r>
              <w:rPr>
                <w:rFonts w:hint="eastAsia"/>
                <w:b w:val="0"/>
                <w:bCs w:val="0"/>
                <w:color w:val="0000FF"/>
                <w:lang w:val="en-US" w:eastAsia="zh-CN"/>
              </w:rPr>
              <w:t>人参种植品种、地块、面积、品类</w:t>
            </w:r>
            <w:r>
              <w:rPr>
                <w:rFonts w:hint="eastAsia"/>
                <w:b w:val="0"/>
                <w:bCs w:val="0"/>
                <w:color w:val="0000FF"/>
                <w:lang w:eastAsia="zh-CN"/>
              </w:rPr>
              <w:t>）</w:t>
            </w:r>
            <w:r>
              <w:rPr>
                <w:rFonts w:ascii="宋体" w:hAnsi="宋体" w:eastAsia="宋体" w:cs="宋体"/>
                <w:b w:val="0"/>
                <w:bCs w:val="0"/>
                <w:kern w:val="0"/>
                <w:sz w:val="24"/>
                <w:szCs w:val="24"/>
                <w:lang w:val="en-US" w:eastAsia="zh-CN" w:bidi="ar"/>
              </w:rPr>
              <w:t>参龄及预计作货时间、作货面积和产量等信息按要求报送。属地农业农村主管部门登记备案。</w:t>
            </w:r>
          </w:p>
        </w:tc>
        <w:tc>
          <w:tcPr>
            <w:tcW w:w="1416" w:type="dxa"/>
            <w:vAlign w:val="center"/>
          </w:tcPr>
          <w:p w14:paraId="568DCA4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采纳</w:t>
            </w:r>
          </w:p>
        </w:tc>
        <w:tc>
          <w:tcPr>
            <w:tcW w:w="1814" w:type="dxa"/>
            <w:vAlign w:val="center"/>
          </w:tcPr>
          <w:p w14:paraId="5B827E9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val="en-US" w:eastAsia="zh-CN"/>
              </w:rPr>
            </w:pPr>
          </w:p>
        </w:tc>
      </w:tr>
      <w:tr w14:paraId="66D8B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5148FABB">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jc w:val="center"/>
              <w:textAlignment w:val="auto"/>
              <w:rPr>
                <w:rFonts w:hint="eastAsia" w:ascii="宋体" w:hAnsi="宋体" w:eastAsia="宋体" w:cs="宋体"/>
                <w:b w:val="0"/>
                <w:bCs w:val="0"/>
                <w:sz w:val="24"/>
                <w:szCs w:val="24"/>
                <w:vertAlign w:val="baseline"/>
                <w:lang w:val="en-US" w:eastAsia="zh-CN"/>
              </w:rPr>
            </w:pPr>
          </w:p>
        </w:tc>
        <w:tc>
          <w:tcPr>
            <w:tcW w:w="1321" w:type="dxa"/>
            <w:vMerge w:val="continue"/>
            <w:vAlign w:val="center"/>
          </w:tcPr>
          <w:p w14:paraId="2FB5683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p>
        </w:tc>
        <w:tc>
          <w:tcPr>
            <w:tcW w:w="737" w:type="dxa"/>
            <w:vAlign w:val="center"/>
          </w:tcPr>
          <w:p w14:paraId="60D91EDB">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p>
        </w:tc>
        <w:tc>
          <w:tcPr>
            <w:tcW w:w="7994" w:type="dxa"/>
            <w:vAlign w:val="center"/>
          </w:tcPr>
          <w:p w14:paraId="05365FB3">
            <w:pPr>
              <w:pStyle w:val="2"/>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宋体"/>
                <w:b w:val="0"/>
                <w:bCs w:val="0"/>
                <w:kern w:val="0"/>
                <w:sz w:val="24"/>
                <w:szCs w:val="24"/>
                <w:lang w:val="en-US" w:eastAsia="zh-CN" w:bidi="ar"/>
              </w:rPr>
            </w:pPr>
            <w:r>
              <w:rPr>
                <w:rFonts w:ascii="宋体" w:hAnsi="宋体" w:eastAsia="宋体" w:cs="宋体"/>
                <w:b w:val="0"/>
                <w:bCs w:val="0"/>
                <w:kern w:val="0"/>
                <w:sz w:val="24"/>
                <w:szCs w:val="24"/>
                <w:lang w:val="en-US" w:eastAsia="zh-CN" w:bidi="ar"/>
              </w:rPr>
              <w:t>第十七条  省人民政府应将人参种植纳入黑土地保护总体规划中，提升人参种植的黑土地质量。</w:t>
            </w:r>
            <w:r>
              <w:rPr>
                <w:rFonts w:hint="eastAsia" w:ascii="宋体" w:hAnsi="宋体" w:eastAsia="宋体" w:cs="宋体"/>
                <w:b w:val="0"/>
                <w:bCs w:val="0"/>
                <w:color w:val="0000FF"/>
                <w:kern w:val="0"/>
                <w:sz w:val="24"/>
                <w:szCs w:val="24"/>
                <w:lang w:val="en-US" w:eastAsia="zh-CN" w:bidi="ar"/>
              </w:rPr>
              <w:t>（</w:t>
            </w:r>
            <w:r>
              <w:rPr>
                <w:rFonts w:hint="eastAsia"/>
                <w:b w:val="0"/>
                <w:bCs w:val="0"/>
                <w:color w:val="0000FF"/>
                <w:lang w:val="en-US" w:eastAsia="zh-CN"/>
              </w:rPr>
              <w:t>建议删除黑土的分布区域与人参的主产区并非一致，二者没有紧密关系。</w:t>
            </w:r>
            <w:r>
              <w:rPr>
                <w:rFonts w:hint="eastAsia" w:ascii="宋体" w:hAnsi="宋体" w:eastAsia="宋体" w:cs="宋体"/>
                <w:b w:val="0"/>
                <w:bCs w:val="0"/>
                <w:color w:val="0000FF"/>
                <w:kern w:val="0"/>
                <w:sz w:val="24"/>
                <w:szCs w:val="24"/>
                <w:lang w:val="en-US" w:eastAsia="zh-CN" w:bidi="ar"/>
              </w:rPr>
              <w:t>）</w:t>
            </w:r>
          </w:p>
        </w:tc>
        <w:tc>
          <w:tcPr>
            <w:tcW w:w="1416" w:type="dxa"/>
            <w:vAlign w:val="center"/>
          </w:tcPr>
          <w:p w14:paraId="0837267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未采纳</w:t>
            </w:r>
          </w:p>
        </w:tc>
        <w:tc>
          <w:tcPr>
            <w:tcW w:w="1814" w:type="dxa"/>
            <w:vAlign w:val="center"/>
          </w:tcPr>
          <w:p w14:paraId="7D479E7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黑土地保护地区与人参产业发展区域有重叠</w:t>
            </w:r>
          </w:p>
        </w:tc>
      </w:tr>
      <w:tr w14:paraId="7491B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21A39C4B">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jc w:val="center"/>
              <w:textAlignment w:val="auto"/>
              <w:rPr>
                <w:rFonts w:hint="eastAsia" w:ascii="宋体" w:hAnsi="宋体" w:eastAsia="宋体" w:cs="宋体"/>
                <w:b w:val="0"/>
                <w:bCs w:val="0"/>
                <w:sz w:val="24"/>
                <w:szCs w:val="24"/>
                <w:vertAlign w:val="baseline"/>
                <w:lang w:val="en-US" w:eastAsia="zh-CN"/>
              </w:rPr>
            </w:pPr>
          </w:p>
        </w:tc>
        <w:tc>
          <w:tcPr>
            <w:tcW w:w="1321" w:type="dxa"/>
            <w:vMerge w:val="continue"/>
            <w:vAlign w:val="center"/>
          </w:tcPr>
          <w:p w14:paraId="3B48FCD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p>
        </w:tc>
        <w:tc>
          <w:tcPr>
            <w:tcW w:w="737" w:type="dxa"/>
            <w:vAlign w:val="center"/>
          </w:tcPr>
          <w:p w14:paraId="7341EE31">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7994" w:type="dxa"/>
            <w:vAlign w:val="center"/>
          </w:tcPr>
          <w:p w14:paraId="5D54AD72">
            <w:pPr>
              <w:keepNext w:val="0"/>
              <w:keepLines w:val="0"/>
              <w:pageBreakBefore w:val="0"/>
              <w:kinsoku/>
              <w:wordWrap/>
              <w:overflowPunct/>
              <w:topLinePunct w:val="0"/>
              <w:autoSpaceDE/>
              <w:autoSpaceDN/>
              <w:bidi w:val="0"/>
              <w:adjustRightInd/>
              <w:snapToGrid/>
              <w:spacing w:line="560" w:lineRule="exact"/>
              <w:jc w:val="left"/>
              <w:textAlignment w:val="auto"/>
              <w:rPr>
                <w:rFonts w:ascii="宋体" w:hAnsi="宋体" w:eastAsia="宋体" w:cs="宋体"/>
                <w:b w:val="0"/>
                <w:bCs w:val="0"/>
                <w:kern w:val="0"/>
                <w:sz w:val="24"/>
                <w:szCs w:val="24"/>
                <w:lang w:val="en-US" w:eastAsia="zh-CN" w:bidi="ar"/>
              </w:rPr>
            </w:pPr>
            <w:r>
              <w:rPr>
                <w:rFonts w:ascii="宋体" w:hAnsi="宋体" w:eastAsia="宋体" w:cs="宋体"/>
                <w:b w:val="0"/>
                <w:bCs w:val="0"/>
                <w:kern w:val="0"/>
                <w:sz w:val="24"/>
                <w:szCs w:val="24"/>
                <w:lang w:val="en-US" w:eastAsia="zh-CN" w:bidi="ar"/>
              </w:rPr>
              <w:t>第十八条  县级人民政府对人参种植备案使用的一般耕地要立足县域落实占补平衡，本级政府不能落实的由上一级政府落实，现有种植规模不再扩大</w:t>
            </w:r>
            <w:r>
              <w:rPr>
                <w:rFonts w:hint="eastAsia"/>
                <w:b w:val="0"/>
                <w:bCs w:val="0"/>
                <w:color w:val="0000FF"/>
                <w:lang w:eastAsia="zh-CN"/>
              </w:rPr>
              <w:t>（修改为</w:t>
            </w:r>
            <w:r>
              <w:rPr>
                <w:rFonts w:hint="eastAsia"/>
                <w:b w:val="0"/>
                <w:bCs w:val="0"/>
                <w:color w:val="0000FF"/>
                <w:lang w:val="en-US" w:eastAsia="zh-CN"/>
              </w:rPr>
              <w:t>种植规模严格按照规划执行</w:t>
            </w:r>
            <w:r>
              <w:rPr>
                <w:rFonts w:hint="eastAsia"/>
                <w:b w:val="0"/>
                <w:bCs w:val="0"/>
                <w:color w:val="0000FF"/>
                <w:lang w:eastAsia="zh-CN"/>
              </w:rPr>
              <w:t>）</w:t>
            </w:r>
            <w:r>
              <w:rPr>
                <w:rFonts w:ascii="宋体" w:hAnsi="宋体" w:eastAsia="宋体" w:cs="宋体"/>
                <w:b w:val="0"/>
                <w:bCs w:val="0"/>
                <w:kern w:val="0"/>
                <w:sz w:val="24"/>
                <w:szCs w:val="24"/>
                <w:lang w:val="en-US" w:eastAsia="zh-CN" w:bidi="ar"/>
              </w:rPr>
              <w:t>。人参种植严禁占用永久基本农田。</w:t>
            </w:r>
          </w:p>
        </w:tc>
        <w:tc>
          <w:tcPr>
            <w:tcW w:w="1416" w:type="dxa"/>
            <w:vAlign w:val="center"/>
          </w:tcPr>
          <w:p w14:paraId="2984FA5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未采纳</w:t>
            </w:r>
          </w:p>
        </w:tc>
        <w:tc>
          <w:tcPr>
            <w:tcW w:w="1814" w:type="dxa"/>
            <w:vAlign w:val="center"/>
          </w:tcPr>
          <w:p w14:paraId="3A5F97B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规划无相关内容</w:t>
            </w:r>
          </w:p>
        </w:tc>
      </w:tr>
      <w:tr w14:paraId="062A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76D684B2">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jc w:val="center"/>
              <w:textAlignment w:val="auto"/>
              <w:rPr>
                <w:rFonts w:hint="eastAsia" w:ascii="宋体" w:hAnsi="宋体" w:eastAsia="宋体" w:cs="宋体"/>
                <w:b w:val="0"/>
                <w:bCs w:val="0"/>
                <w:sz w:val="24"/>
                <w:szCs w:val="24"/>
                <w:vertAlign w:val="baseline"/>
                <w:lang w:val="en-US" w:eastAsia="zh-CN"/>
              </w:rPr>
            </w:pPr>
          </w:p>
        </w:tc>
        <w:tc>
          <w:tcPr>
            <w:tcW w:w="1321" w:type="dxa"/>
            <w:vMerge w:val="continue"/>
            <w:vAlign w:val="center"/>
          </w:tcPr>
          <w:p w14:paraId="397F33B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p>
        </w:tc>
        <w:tc>
          <w:tcPr>
            <w:tcW w:w="737" w:type="dxa"/>
            <w:vAlign w:val="center"/>
          </w:tcPr>
          <w:p w14:paraId="789F15B8">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w:t>
            </w:r>
          </w:p>
        </w:tc>
        <w:tc>
          <w:tcPr>
            <w:tcW w:w="7994" w:type="dxa"/>
            <w:vAlign w:val="center"/>
          </w:tcPr>
          <w:p w14:paraId="656F1BCC">
            <w:pPr>
              <w:keepNext w:val="0"/>
              <w:keepLines w:val="0"/>
              <w:pageBreakBefore w:val="0"/>
              <w:kinsoku/>
              <w:wordWrap/>
              <w:overflowPunct/>
              <w:topLinePunct w:val="0"/>
              <w:autoSpaceDE/>
              <w:autoSpaceDN/>
              <w:bidi w:val="0"/>
              <w:adjustRightInd/>
              <w:snapToGrid/>
              <w:spacing w:line="560" w:lineRule="exact"/>
              <w:jc w:val="left"/>
              <w:textAlignment w:val="auto"/>
              <w:rPr>
                <w:rFonts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 xml:space="preserve">第二十三条 </w:t>
            </w:r>
            <w:r>
              <w:rPr>
                <w:rFonts w:ascii="宋体" w:hAnsi="宋体" w:eastAsia="宋体" w:cs="宋体"/>
                <w:b w:val="0"/>
                <w:bCs w:val="0"/>
                <w:kern w:val="0"/>
                <w:sz w:val="24"/>
                <w:szCs w:val="24"/>
                <w:lang w:val="en-US" w:eastAsia="zh-CN" w:bidi="ar"/>
              </w:rPr>
              <w:t>加工和经营农药残留、重金属、污染物</w:t>
            </w:r>
            <w:r>
              <w:rPr>
                <w:rFonts w:hint="eastAsia"/>
                <w:b w:val="0"/>
                <w:bCs w:val="0"/>
                <w:color w:val="0000FF"/>
                <w:lang w:val="en-US" w:eastAsia="zh-CN"/>
              </w:rPr>
              <w:t>（建议删除污染物，加工和经营农药残留、重金属、污染物以及其他危害人体健康物质的含量超过相关质量安全标准限量的人参及其产品）</w:t>
            </w:r>
            <w:r>
              <w:rPr>
                <w:rFonts w:ascii="宋体" w:hAnsi="宋体" w:eastAsia="宋体" w:cs="宋体"/>
                <w:b w:val="0"/>
                <w:bCs w:val="0"/>
                <w:kern w:val="0"/>
                <w:sz w:val="24"/>
                <w:szCs w:val="24"/>
                <w:lang w:val="en-US" w:eastAsia="zh-CN" w:bidi="ar"/>
              </w:rPr>
              <w:t>以及其他危害人体健康物质的含量超过相关质量安全标准限量的人参及其产品；</w:t>
            </w:r>
          </w:p>
        </w:tc>
        <w:tc>
          <w:tcPr>
            <w:tcW w:w="1416" w:type="dxa"/>
            <w:vAlign w:val="center"/>
          </w:tcPr>
          <w:p w14:paraId="582E5AF5">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采纳</w:t>
            </w:r>
          </w:p>
        </w:tc>
        <w:tc>
          <w:tcPr>
            <w:tcW w:w="1814" w:type="dxa"/>
            <w:vAlign w:val="center"/>
          </w:tcPr>
          <w:p w14:paraId="2EB62F0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val="en-US" w:eastAsia="zh-CN"/>
              </w:rPr>
            </w:pPr>
          </w:p>
        </w:tc>
      </w:tr>
      <w:tr w14:paraId="35712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0E5B26C4">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jc w:val="center"/>
              <w:textAlignment w:val="auto"/>
              <w:rPr>
                <w:rFonts w:hint="eastAsia" w:ascii="宋体" w:hAnsi="宋体" w:eastAsia="宋体" w:cs="宋体"/>
                <w:b w:val="0"/>
                <w:bCs w:val="0"/>
                <w:sz w:val="24"/>
                <w:szCs w:val="24"/>
                <w:vertAlign w:val="baseline"/>
                <w:lang w:val="en-US" w:eastAsia="zh-CN"/>
              </w:rPr>
            </w:pPr>
          </w:p>
        </w:tc>
        <w:tc>
          <w:tcPr>
            <w:tcW w:w="1321" w:type="dxa"/>
            <w:vMerge w:val="continue"/>
            <w:vAlign w:val="center"/>
          </w:tcPr>
          <w:p w14:paraId="397D732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p>
        </w:tc>
        <w:tc>
          <w:tcPr>
            <w:tcW w:w="737" w:type="dxa"/>
            <w:vAlign w:val="center"/>
          </w:tcPr>
          <w:p w14:paraId="42385358">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w:t>
            </w:r>
          </w:p>
        </w:tc>
        <w:tc>
          <w:tcPr>
            <w:tcW w:w="7994" w:type="dxa"/>
            <w:vAlign w:val="center"/>
          </w:tcPr>
          <w:p w14:paraId="03BBDA14">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宋体" w:hAnsi="宋体" w:eastAsia="宋体" w:cs="宋体"/>
                <w:b w:val="0"/>
                <w:bCs w:val="0"/>
                <w:kern w:val="0"/>
                <w:sz w:val="24"/>
                <w:szCs w:val="24"/>
                <w:lang w:val="en-US" w:eastAsia="zh-CN" w:bidi="ar"/>
              </w:rPr>
            </w:pPr>
            <w:r>
              <w:rPr>
                <w:rFonts w:ascii="宋体" w:hAnsi="宋体" w:eastAsia="宋体" w:cs="宋体"/>
                <w:b w:val="0"/>
                <w:bCs w:val="0"/>
                <w:kern w:val="0"/>
                <w:sz w:val="24"/>
                <w:szCs w:val="24"/>
                <w:lang w:val="en-US" w:eastAsia="zh-CN" w:bidi="ar"/>
              </w:rPr>
              <w:t>第二十七条  经营者通过网络销售人参及其产品的，应当标明真实的产品名称、产地、品种</w:t>
            </w:r>
            <w:r>
              <w:rPr>
                <w:rFonts w:hint="eastAsia"/>
                <w:b w:val="0"/>
                <w:bCs w:val="0"/>
                <w:color w:val="0000FF"/>
                <w:lang w:eastAsia="zh-CN"/>
              </w:rPr>
              <w:t>（删除品种）</w:t>
            </w:r>
            <w:r>
              <w:rPr>
                <w:rFonts w:ascii="宋体" w:hAnsi="宋体" w:eastAsia="宋体" w:cs="宋体"/>
                <w:b w:val="0"/>
                <w:bCs w:val="0"/>
                <w:kern w:val="0"/>
                <w:sz w:val="24"/>
                <w:szCs w:val="24"/>
                <w:lang w:val="en-US" w:eastAsia="zh-CN" w:bidi="ar"/>
              </w:rPr>
              <w:t>等基本信息，不得通过虚构人参的种类品种</w:t>
            </w:r>
            <w:r>
              <w:rPr>
                <w:rFonts w:hint="eastAsia"/>
                <w:b w:val="0"/>
                <w:bCs w:val="0"/>
                <w:color w:val="0000FF"/>
                <w:lang w:val="en-US" w:eastAsia="zh-CN"/>
              </w:rPr>
              <w:t>（修改为品类）</w:t>
            </w:r>
            <w:r>
              <w:rPr>
                <w:rFonts w:ascii="宋体" w:hAnsi="宋体" w:eastAsia="宋体" w:cs="宋体"/>
                <w:b w:val="0"/>
                <w:bCs w:val="0"/>
                <w:kern w:val="0"/>
                <w:sz w:val="24"/>
                <w:szCs w:val="24"/>
                <w:lang w:val="en-US" w:eastAsia="zh-CN" w:bidi="ar"/>
              </w:rPr>
              <w:t>和生长环境、夸大产品等级和网络交易成交量、展示虚假检验鉴定证书等行为误导和欺骗消费者。</w:t>
            </w:r>
          </w:p>
        </w:tc>
        <w:tc>
          <w:tcPr>
            <w:tcW w:w="1416" w:type="dxa"/>
            <w:vAlign w:val="center"/>
          </w:tcPr>
          <w:p w14:paraId="4AE77594">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采纳</w:t>
            </w:r>
          </w:p>
        </w:tc>
        <w:tc>
          <w:tcPr>
            <w:tcW w:w="1814" w:type="dxa"/>
            <w:vAlign w:val="center"/>
          </w:tcPr>
          <w:p w14:paraId="144EAE0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val="en-US" w:eastAsia="zh-CN"/>
              </w:rPr>
            </w:pPr>
          </w:p>
        </w:tc>
      </w:tr>
      <w:tr w14:paraId="5EF34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438888B6">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jc w:val="center"/>
              <w:textAlignment w:val="auto"/>
              <w:rPr>
                <w:rFonts w:hint="eastAsia" w:ascii="宋体" w:hAnsi="宋体" w:eastAsia="宋体" w:cs="宋体"/>
                <w:b w:val="0"/>
                <w:bCs w:val="0"/>
                <w:sz w:val="24"/>
                <w:szCs w:val="24"/>
                <w:vertAlign w:val="baseline"/>
                <w:lang w:val="en-US" w:eastAsia="zh-CN"/>
              </w:rPr>
            </w:pPr>
          </w:p>
        </w:tc>
        <w:tc>
          <w:tcPr>
            <w:tcW w:w="1321" w:type="dxa"/>
            <w:vMerge w:val="continue"/>
            <w:vAlign w:val="center"/>
          </w:tcPr>
          <w:p w14:paraId="49D6E15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p>
        </w:tc>
        <w:tc>
          <w:tcPr>
            <w:tcW w:w="737" w:type="dxa"/>
            <w:vAlign w:val="center"/>
          </w:tcPr>
          <w:p w14:paraId="601BFE08">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w:t>
            </w:r>
          </w:p>
        </w:tc>
        <w:tc>
          <w:tcPr>
            <w:tcW w:w="7994" w:type="dxa"/>
            <w:vAlign w:val="center"/>
          </w:tcPr>
          <w:p w14:paraId="2A327103">
            <w:pPr>
              <w:pStyle w:val="2"/>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 xml:space="preserve">第二十九条 </w:t>
            </w:r>
            <w:r>
              <w:rPr>
                <w:rFonts w:ascii="宋体" w:hAnsi="宋体" w:eastAsia="宋体" w:cs="宋体"/>
                <w:b w:val="0"/>
                <w:bCs w:val="0"/>
                <w:kern w:val="0"/>
                <w:sz w:val="24"/>
                <w:szCs w:val="24"/>
                <w:lang w:val="en-US" w:eastAsia="zh-CN" w:bidi="ar"/>
              </w:rPr>
              <w:t>人参的种类、品种</w:t>
            </w:r>
            <w:r>
              <w:rPr>
                <w:rFonts w:hint="eastAsia"/>
                <w:b w:val="0"/>
                <w:bCs w:val="0"/>
                <w:color w:val="0000FF"/>
                <w:lang w:val="en-US" w:eastAsia="zh-CN"/>
              </w:rPr>
              <w:t>（修改为品类与消费者讲品种意义不大，明确品类更重要）</w:t>
            </w:r>
            <w:r>
              <w:rPr>
                <w:rFonts w:ascii="宋体" w:hAnsi="宋体" w:eastAsia="宋体" w:cs="宋体"/>
                <w:b w:val="0"/>
                <w:bCs w:val="0"/>
                <w:kern w:val="0"/>
                <w:sz w:val="24"/>
                <w:szCs w:val="24"/>
                <w:lang w:val="en-US" w:eastAsia="zh-CN" w:bidi="ar"/>
              </w:rPr>
              <w:t>、产地与标签或者标识不符的；</w:t>
            </w:r>
          </w:p>
        </w:tc>
        <w:tc>
          <w:tcPr>
            <w:tcW w:w="1416" w:type="dxa"/>
            <w:vAlign w:val="center"/>
          </w:tcPr>
          <w:p w14:paraId="219662EB">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采纳</w:t>
            </w:r>
          </w:p>
        </w:tc>
        <w:tc>
          <w:tcPr>
            <w:tcW w:w="1814" w:type="dxa"/>
            <w:vAlign w:val="center"/>
          </w:tcPr>
          <w:p w14:paraId="6AECC15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val="en-US" w:eastAsia="zh-CN"/>
              </w:rPr>
            </w:pPr>
          </w:p>
        </w:tc>
      </w:tr>
      <w:tr w14:paraId="08913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1D07D294">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jc w:val="center"/>
              <w:textAlignment w:val="auto"/>
              <w:rPr>
                <w:rFonts w:hint="eastAsia" w:ascii="宋体" w:hAnsi="宋体" w:eastAsia="宋体" w:cs="宋体"/>
                <w:b w:val="0"/>
                <w:bCs w:val="0"/>
                <w:sz w:val="24"/>
                <w:szCs w:val="24"/>
                <w:vertAlign w:val="baseline"/>
                <w:lang w:val="en-US" w:eastAsia="zh-CN"/>
              </w:rPr>
            </w:pPr>
          </w:p>
        </w:tc>
        <w:tc>
          <w:tcPr>
            <w:tcW w:w="1321" w:type="dxa"/>
            <w:vMerge w:val="continue"/>
            <w:vAlign w:val="center"/>
          </w:tcPr>
          <w:p w14:paraId="3AC9A40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p>
        </w:tc>
        <w:tc>
          <w:tcPr>
            <w:tcW w:w="737" w:type="dxa"/>
            <w:vAlign w:val="center"/>
          </w:tcPr>
          <w:p w14:paraId="5B9AC6AD">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w:t>
            </w:r>
          </w:p>
        </w:tc>
        <w:tc>
          <w:tcPr>
            <w:tcW w:w="7994" w:type="dxa"/>
            <w:vAlign w:val="center"/>
          </w:tcPr>
          <w:p w14:paraId="7415587C">
            <w:pPr>
              <w:pStyle w:val="2"/>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宋体"/>
                <w:b w:val="0"/>
                <w:bCs w:val="0"/>
                <w:kern w:val="0"/>
                <w:sz w:val="24"/>
                <w:szCs w:val="24"/>
                <w:lang w:val="en-US" w:eastAsia="zh-CN" w:bidi="ar"/>
              </w:rPr>
            </w:pPr>
            <w:r>
              <w:rPr>
                <w:rFonts w:ascii="宋体" w:hAnsi="宋体" w:eastAsia="宋体" w:cs="宋体"/>
                <w:b w:val="0"/>
                <w:bCs w:val="0"/>
                <w:kern w:val="0"/>
                <w:sz w:val="24"/>
                <w:szCs w:val="24"/>
                <w:lang w:val="en-US" w:eastAsia="zh-CN" w:bidi="ar"/>
              </w:rPr>
              <w:t>第四十一条  县级以上人民政府应当建立完善人参产业创新研发和技术推广体系，对人参科研项目给予重点扶持，鼓励和支持科研机构、院校、企业和个人研发推广新品种</w:t>
            </w:r>
            <w:r>
              <w:rPr>
                <w:rFonts w:hint="eastAsia" w:ascii="宋体" w:hAnsi="宋体" w:eastAsia="宋体" w:cs="宋体"/>
                <w:b w:val="0"/>
                <w:bCs w:val="0"/>
                <w:color w:val="0000FF"/>
                <w:kern w:val="0"/>
                <w:sz w:val="24"/>
                <w:szCs w:val="24"/>
                <w:lang w:val="en-US" w:eastAsia="zh-CN" w:bidi="ar"/>
              </w:rPr>
              <w:t>（修改为良种）</w:t>
            </w:r>
            <w:r>
              <w:rPr>
                <w:rFonts w:ascii="宋体" w:hAnsi="宋体" w:eastAsia="宋体" w:cs="宋体"/>
                <w:b w:val="0"/>
                <w:bCs w:val="0"/>
                <w:kern w:val="0"/>
                <w:sz w:val="24"/>
                <w:szCs w:val="24"/>
                <w:lang w:val="en-US" w:eastAsia="zh-CN" w:bidi="ar"/>
              </w:rPr>
              <w:t>、新产品、新技术和新工艺，鼓励研制使用优质种苗、用土、用肥、用药、用膜、非林地种植</w:t>
            </w:r>
            <w:r>
              <w:rPr>
                <w:rFonts w:hint="eastAsia"/>
                <w:b w:val="0"/>
                <w:bCs w:val="0"/>
                <w:color w:val="0000FF"/>
                <w:lang w:eastAsia="zh-CN"/>
              </w:rPr>
              <w:t>（</w:t>
            </w:r>
            <w:r>
              <w:rPr>
                <w:rFonts w:hint="eastAsia"/>
                <w:b w:val="0"/>
                <w:bCs w:val="0"/>
                <w:color w:val="0000FF"/>
                <w:lang w:val="en-US" w:eastAsia="zh-CN"/>
              </w:rPr>
              <w:t>是非林地种植还是林地种植？如果是非林地种植也不是新技术了</w:t>
            </w:r>
            <w:r>
              <w:rPr>
                <w:rFonts w:hint="eastAsia"/>
                <w:b w:val="0"/>
                <w:bCs w:val="0"/>
                <w:color w:val="0000FF"/>
                <w:lang w:eastAsia="zh-CN"/>
              </w:rPr>
              <w:t>）</w:t>
            </w:r>
            <w:r>
              <w:rPr>
                <w:rFonts w:ascii="宋体" w:hAnsi="宋体" w:eastAsia="宋体" w:cs="宋体"/>
                <w:b w:val="0"/>
                <w:bCs w:val="0"/>
                <w:kern w:val="0"/>
                <w:sz w:val="24"/>
                <w:szCs w:val="24"/>
                <w:lang w:val="en-US" w:eastAsia="zh-CN" w:bidi="ar"/>
              </w:rPr>
              <w:t>和精深加工等新技术。省人民政府对科研成果的推广应用给予资金支持。</w:t>
            </w:r>
          </w:p>
        </w:tc>
        <w:tc>
          <w:tcPr>
            <w:tcW w:w="1416" w:type="dxa"/>
            <w:vAlign w:val="center"/>
          </w:tcPr>
          <w:p w14:paraId="27408A4E">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未采纳</w:t>
            </w:r>
          </w:p>
        </w:tc>
        <w:tc>
          <w:tcPr>
            <w:tcW w:w="1814" w:type="dxa"/>
            <w:vAlign w:val="center"/>
          </w:tcPr>
          <w:p w14:paraId="48BEF36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内容不明确</w:t>
            </w:r>
          </w:p>
        </w:tc>
      </w:tr>
      <w:tr w14:paraId="5644E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12BA8BC1">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jc w:val="center"/>
              <w:textAlignment w:val="auto"/>
              <w:rPr>
                <w:rFonts w:hint="eastAsia" w:ascii="宋体" w:hAnsi="宋体" w:eastAsia="宋体" w:cs="宋体"/>
                <w:b w:val="0"/>
                <w:bCs w:val="0"/>
                <w:sz w:val="24"/>
                <w:szCs w:val="24"/>
                <w:vertAlign w:val="baseline"/>
                <w:lang w:val="en-US" w:eastAsia="zh-CN"/>
              </w:rPr>
            </w:pPr>
          </w:p>
        </w:tc>
        <w:tc>
          <w:tcPr>
            <w:tcW w:w="1321" w:type="dxa"/>
            <w:vMerge w:val="continue"/>
            <w:vAlign w:val="center"/>
          </w:tcPr>
          <w:p w14:paraId="3F9F855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p>
        </w:tc>
        <w:tc>
          <w:tcPr>
            <w:tcW w:w="737" w:type="dxa"/>
            <w:vAlign w:val="center"/>
          </w:tcPr>
          <w:p w14:paraId="3EE1DD2C">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7994" w:type="dxa"/>
            <w:vAlign w:val="center"/>
          </w:tcPr>
          <w:p w14:paraId="3E37E264">
            <w:pPr>
              <w:pStyle w:val="2"/>
              <w:keepNext w:val="0"/>
              <w:keepLines w:val="0"/>
              <w:pageBreakBefore w:val="0"/>
              <w:kinsoku/>
              <w:wordWrap/>
              <w:overflowPunct/>
              <w:topLinePunct w:val="0"/>
              <w:autoSpaceDE/>
              <w:autoSpaceDN/>
              <w:bidi w:val="0"/>
              <w:adjustRightInd/>
              <w:snapToGrid/>
              <w:spacing w:line="560" w:lineRule="exact"/>
              <w:textAlignment w:val="auto"/>
              <w:rPr>
                <w:rFonts w:ascii="宋体" w:hAnsi="宋体" w:eastAsia="宋体" w:cs="宋体"/>
                <w:b w:val="0"/>
                <w:bCs w:val="0"/>
                <w:kern w:val="0"/>
                <w:sz w:val="24"/>
                <w:szCs w:val="24"/>
                <w:lang w:val="en-US" w:eastAsia="zh-CN" w:bidi="ar"/>
              </w:rPr>
            </w:pPr>
            <w:r>
              <w:rPr>
                <w:rFonts w:ascii="宋体" w:hAnsi="宋体" w:eastAsia="宋体" w:cs="宋体"/>
                <w:b w:val="0"/>
                <w:bCs w:val="0"/>
                <w:kern w:val="0"/>
                <w:sz w:val="24"/>
                <w:szCs w:val="24"/>
                <w:lang w:val="en-US" w:eastAsia="zh-CN" w:bidi="ar"/>
              </w:rPr>
              <w:t>第六十三条 （二）林下参</w:t>
            </w:r>
            <w:r>
              <w:rPr>
                <w:rFonts w:hint="eastAsia"/>
                <w:b w:val="0"/>
                <w:bCs w:val="0"/>
                <w:color w:val="0000FF"/>
                <w:lang w:eastAsia="zh-CN"/>
              </w:rPr>
              <w:t>（</w:t>
            </w:r>
            <w:r>
              <w:rPr>
                <w:rFonts w:hint="eastAsia"/>
                <w:b w:val="0"/>
                <w:bCs w:val="0"/>
                <w:color w:val="0000FF"/>
                <w:lang w:val="en-US" w:eastAsia="zh-CN"/>
              </w:rPr>
              <w:t>林下参的定义与目前市场上销售的林下参同名不同意，这个定义与2005办药典的定义一致，但目前市场的林下参不是自认生长的那部分，而是认为干预较多的那部分。如果按照这个定义制定人参管理条例就将一部分人为干预较多、又具有较大量的林下人参的品类没有囊括在内。</w:t>
            </w:r>
            <w:r>
              <w:rPr>
                <w:rFonts w:hint="eastAsia"/>
                <w:b w:val="0"/>
                <w:bCs w:val="0"/>
                <w:color w:val="0000FF"/>
                <w:lang w:eastAsia="zh-CN"/>
              </w:rPr>
              <w:t>）</w:t>
            </w:r>
            <w:r>
              <w:rPr>
                <w:rFonts w:ascii="宋体" w:hAnsi="宋体" w:eastAsia="宋体" w:cs="宋体"/>
                <w:b w:val="0"/>
                <w:bCs w:val="0"/>
                <w:kern w:val="0"/>
                <w:sz w:val="24"/>
                <w:szCs w:val="24"/>
                <w:lang w:val="en-US" w:eastAsia="zh-CN" w:bidi="ar"/>
              </w:rPr>
              <w:t>，特指种植方式，人工播种后自然生长在深山密林中的人参，产品包括野山参和林下山参；</w:t>
            </w:r>
          </w:p>
        </w:tc>
        <w:tc>
          <w:tcPr>
            <w:tcW w:w="1416" w:type="dxa"/>
            <w:vAlign w:val="center"/>
          </w:tcPr>
          <w:p w14:paraId="3D9DC355">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未采纳</w:t>
            </w:r>
          </w:p>
        </w:tc>
        <w:tc>
          <w:tcPr>
            <w:tcW w:w="1814" w:type="dxa"/>
            <w:vAlign w:val="center"/>
          </w:tcPr>
          <w:p w14:paraId="5604C6F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内容不明确</w:t>
            </w:r>
          </w:p>
        </w:tc>
      </w:tr>
      <w:tr w14:paraId="1DC36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7F1605E3">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jc w:val="center"/>
              <w:textAlignment w:val="auto"/>
              <w:rPr>
                <w:rFonts w:hint="eastAsia" w:ascii="宋体" w:hAnsi="宋体" w:eastAsia="宋体" w:cs="宋体"/>
                <w:b w:val="0"/>
                <w:bCs w:val="0"/>
                <w:sz w:val="24"/>
                <w:szCs w:val="24"/>
                <w:vertAlign w:val="baseline"/>
                <w:lang w:val="en-US" w:eastAsia="zh-CN"/>
              </w:rPr>
            </w:pPr>
          </w:p>
        </w:tc>
        <w:tc>
          <w:tcPr>
            <w:tcW w:w="1321" w:type="dxa"/>
            <w:vMerge w:val="restart"/>
            <w:vAlign w:val="center"/>
          </w:tcPr>
          <w:p w14:paraId="0DFBB425">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吉林人参研究院曹志强</w:t>
            </w:r>
          </w:p>
        </w:tc>
        <w:tc>
          <w:tcPr>
            <w:tcW w:w="737" w:type="dxa"/>
            <w:vAlign w:val="center"/>
          </w:tcPr>
          <w:p w14:paraId="44DBCD6B">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7994" w:type="dxa"/>
            <w:vAlign w:val="center"/>
          </w:tcPr>
          <w:p w14:paraId="442158B4">
            <w:pPr>
              <w:pStyle w:val="2"/>
              <w:rPr>
                <w:rFonts w:hint="eastAsia" w:ascii="宋体" w:hAnsi="宋体" w:cs="宋体" w:eastAsiaTheme="minorEastAsia"/>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全篇</w:t>
            </w:r>
            <w:r>
              <w:rPr>
                <w:rFonts w:ascii="宋体" w:hAnsi="宋体" w:eastAsia="宋体" w:cs="宋体"/>
                <w:b w:val="0"/>
                <w:bCs w:val="0"/>
                <w:kern w:val="0"/>
                <w:sz w:val="24"/>
                <w:szCs w:val="24"/>
                <w:lang w:val="en-US" w:eastAsia="zh-CN" w:bidi="ar"/>
              </w:rPr>
              <w:t>园参和林下参种植</w:t>
            </w:r>
            <w:r>
              <w:rPr>
                <w:rFonts w:hint="eastAsia"/>
                <w:b w:val="0"/>
                <w:bCs w:val="0"/>
                <w:color w:val="0000FF"/>
                <w:lang w:eastAsia="zh-CN"/>
              </w:rPr>
              <w:t>（修改为非林地人参种植和林下人参种植）</w:t>
            </w:r>
          </w:p>
        </w:tc>
        <w:tc>
          <w:tcPr>
            <w:tcW w:w="1416" w:type="dxa"/>
            <w:vAlign w:val="center"/>
          </w:tcPr>
          <w:p w14:paraId="5093AFC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未采纳</w:t>
            </w:r>
          </w:p>
        </w:tc>
        <w:tc>
          <w:tcPr>
            <w:tcW w:w="1814" w:type="dxa"/>
            <w:vAlign w:val="center"/>
          </w:tcPr>
          <w:p w14:paraId="5F9403D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不符合要求</w:t>
            </w:r>
          </w:p>
        </w:tc>
      </w:tr>
      <w:tr w14:paraId="5FC3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591E1498">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jc w:val="center"/>
              <w:textAlignment w:val="auto"/>
              <w:rPr>
                <w:rFonts w:hint="eastAsia" w:ascii="宋体" w:hAnsi="宋体" w:eastAsia="宋体" w:cs="宋体"/>
                <w:b w:val="0"/>
                <w:bCs w:val="0"/>
                <w:sz w:val="24"/>
                <w:szCs w:val="24"/>
                <w:vertAlign w:val="baseline"/>
                <w:lang w:val="en-US" w:eastAsia="zh-CN"/>
              </w:rPr>
            </w:pPr>
          </w:p>
        </w:tc>
        <w:tc>
          <w:tcPr>
            <w:tcW w:w="1321" w:type="dxa"/>
            <w:vMerge w:val="continue"/>
            <w:vAlign w:val="center"/>
          </w:tcPr>
          <w:p w14:paraId="3C17090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p>
        </w:tc>
        <w:tc>
          <w:tcPr>
            <w:tcW w:w="737" w:type="dxa"/>
            <w:vAlign w:val="center"/>
          </w:tcPr>
          <w:p w14:paraId="665730EA">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7994" w:type="dxa"/>
            <w:vAlign w:val="center"/>
          </w:tcPr>
          <w:p w14:paraId="3EFADDBC">
            <w:pPr>
              <w:keepNext w:val="0"/>
              <w:keepLines w:val="0"/>
              <w:widowControl/>
              <w:suppressLineNumbers w:val="0"/>
              <w:jc w:val="left"/>
              <w:rPr>
                <w:rFonts w:ascii="宋体" w:hAnsi="宋体" w:eastAsia="宋体" w:cs="宋体"/>
                <w:b w:val="0"/>
                <w:bCs w:val="0"/>
                <w:kern w:val="0"/>
                <w:sz w:val="24"/>
                <w:szCs w:val="24"/>
                <w:lang w:val="en-US" w:eastAsia="zh-CN" w:bidi="ar"/>
              </w:rPr>
            </w:pPr>
            <w:r>
              <w:rPr>
                <w:rFonts w:ascii="宋体" w:hAnsi="宋体" w:eastAsia="宋体" w:cs="宋体"/>
                <w:b w:val="0"/>
                <w:bCs w:val="0"/>
                <w:kern w:val="0"/>
                <w:sz w:val="24"/>
                <w:szCs w:val="24"/>
                <w:lang w:val="en-US" w:eastAsia="zh-CN" w:bidi="ar"/>
              </w:rPr>
              <w:t>第十五条（二）种植地块位置和土壤检测报告</w:t>
            </w:r>
            <w:r>
              <w:rPr>
                <w:rFonts w:hint="eastAsia"/>
                <w:b w:val="0"/>
                <w:bCs w:val="0"/>
                <w:color w:val="0000FF"/>
                <w:lang w:eastAsia="zh-CN"/>
              </w:rPr>
              <w:t>（加上有资质的）</w:t>
            </w:r>
            <w:r>
              <w:rPr>
                <w:rFonts w:ascii="宋体" w:hAnsi="宋体" w:eastAsia="宋体" w:cs="宋体"/>
                <w:b w:val="0"/>
                <w:bCs w:val="0"/>
                <w:kern w:val="0"/>
                <w:sz w:val="24"/>
                <w:szCs w:val="24"/>
                <w:lang w:val="en-US" w:eastAsia="zh-CN" w:bidi="ar"/>
              </w:rPr>
              <w:t>；</w:t>
            </w:r>
          </w:p>
        </w:tc>
        <w:tc>
          <w:tcPr>
            <w:tcW w:w="1416" w:type="dxa"/>
            <w:vAlign w:val="center"/>
          </w:tcPr>
          <w:p w14:paraId="48677EE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采纳</w:t>
            </w:r>
          </w:p>
        </w:tc>
        <w:tc>
          <w:tcPr>
            <w:tcW w:w="1814" w:type="dxa"/>
            <w:vAlign w:val="center"/>
          </w:tcPr>
          <w:p w14:paraId="4D094CC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val="en-US" w:eastAsia="zh-CN"/>
              </w:rPr>
            </w:pPr>
          </w:p>
        </w:tc>
      </w:tr>
      <w:tr w14:paraId="6659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5C9AB7BD">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jc w:val="center"/>
              <w:textAlignment w:val="auto"/>
              <w:rPr>
                <w:rFonts w:hint="eastAsia" w:ascii="宋体" w:hAnsi="宋体" w:eastAsia="宋体" w:cs="宋体"/>
                <w:b w:val="0"/>
                <w:bCs w:val="0"/>
                <w:sz w:val="24"/>
                <w:szCs w:val="24"/>
                <w:vertAlign w:val="baseline"/>
                <w:lang w:val="en-US" w:eastAsia="zh-CN"/>
              </w:rPr>
            </w:pPr>
          </w:p>
        </w:tc>
        <w:tc>
          <w:tcPr>
            <w:tcW w:w="1321" w:type="dxa"/>
            <w:vMerge w:val="continue"/>
            <w:vAlign w:val="center"/>
          </w:tcPr>
          <w:p w14:paraId="1A8128F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p>
        </w:tc>
        <w:tc>
          <w:tcPr>
            <w:tcW w:w="737" w:type="dxa"/>
            <w:vAlign w:val="center"/>
          </w:tcPr>
          <w:p w14:paraId="39A2665C">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7994" w:type="dxa"/>
            <w:vAlign w:val="center"/>
          </w:tcPr>
          <w:p w14:paraId="005ED294">
            <w:pPr>
              <w:keepNext w:val="0"/>
              <w:keepLines w:val="0"/>
              <w:widowControl/>
              <w:suppressLineNumbers w:val="0"/>
              <w:jc w:val="left"/>
              <w:rPr>
                <w:rFonts w:ascii="宋体" w:hAnsi="宋体" w:eastAsia="宋体" w:cs="宋体"/>
                <w:b w:val="0"/>
                <w:bCs w:val="0"/>
                <w:kern w:val="0"/>
                <w:sz w:val="24"/>
                <w:szCs w:val="24"/>
                <w:lang w:val="en-US" w:eastAsia="zh-CN" w:bidi="ar"/>
              </w:rPr>
            </w:pPr>
            <w:r>
              <w:rPr>
                <w:rFonts w:ascii="宋体" w:hAnsi="宋体" w:eastAsia="宋体" w:cs="宋体"/>
                <w:b w:val="0"/>
                <w:bCs w:val="0"/>
                <w:kern w:val="0"/>
                <w:sz w:val="24"/>
                <w:szCs w:val="24"/>
                <w:lang w:val="en-US" w:eastAsia="zh-CN" w:bidi="ar"/>
              </w:rPr>
              <w:t>第十五条（六）质量安全检验情况</w:t>
            </w:r>
            <w:r>
              <w:rPr>
                <w:rFonts w:hint="eastAsia" w:ascii="宋体" w:hAnsi="宋体" w:eastAsia="宋体" w:cs="宋体"/>
                <w:b w:val="0"/>
                <w:bCs w:val="0"/>
                <w:color w:val="0000FF"/>
                <w:kern w:val="0"/>
                <w:sz w:val="24"/>
                <w:szCs w:val="24"/>
                <w:lang w:val="en-US" w:eastAsia="zh-CN" w:bidi="ar"/>
              </w:rPr>
              <w:t>（加上报告</w:t>
            </w:r>
            <w:r>
              <w:rPr>
                <w:rFonts w:hint="eastAsia" w:ascii="宋体" w:hAnsi="宋体" w:eastAsia="宋体" w:cs="宋体"/>
                <w:b w:val="0"/>
                <w:bCs w:val="0"/>
                <w:kern w:val="0"/>
                <w:sz w:val="24"/>
                <w:szCs w:val="24"/>
                <w:lang w:val="en-US" w:eastAsia="zh-CN" w:bidi="ar"/>
              </w:rPr>
              <w:t>）</w:t>
            </w:r>
            <w:r>
              <w:rPr>
                <w:rFonts w:ascii="宋体" w:hAnsi="宋体" w:eastAsia="宋体" w:cs="宋体"/>
                <w:b w:val="0"/>
                <w:bCs w:val="0"/>
                <w:kern w:val="0"/>
                <w:sz w:val="24"/>
                <w:szCs w:val="24"/>
                <w:lang w:val="en-US" w:eastAsia="zh-CN" w:bidi="ar"/>
              </w:rPr>
              <w:t>；</w:t>
            </w:r>
          </w:p>
        </w:tc>
        <w:tc>
          <w:tcPr>
            <w:tcW w:w="1416" w:type="dxa"/>
            <w:vAlign w:val="center"/>
          </w:tcPr>
          <w:p w14:paraId="6BDBB2F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未采纳</w:t>
            </w:r>
          </w:p>
        </w:tc>
        <w:tc>
          <w:tcPr>
            <w:tcW w:w="1814" w:type="dxa"/>
            <w:vAlign w:val="center"/>
          </w:tcPr>
          <w:p w14:paraId="5C86ED5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不仅仅是报告</w:t>
            </w:r>
          </w:p>
        </w:tc>
      </w:tr>
      <w:tr w14:paraId="1F8D3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4BB6BDD0">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jc w:val="center"/>
              <w:textAlignment w:val="auto"/>
              <w:rPr>
                <w:rFonts w:hint="eastAsia" w:ascii="宋体" w:hAnsi="宋体" w:eastAsia="宋体" w:cs="宋体"/>
                <w:b w:val="0"/>
                <w:bCs w:val="0"/>
                <w:sz w:val="24"/>
                <w:szCs w:val="24"/>
                <w:vertAlign w:val="baseline"/>
                <w:lang w:val="en-US" w:eastAsia="zh-CN"/>
              </w:rPr>
            </w:pPr>
          </w:p>
        </w:tc>
        <w:tc>
          <w:tcPr>
            <w:tcW w:w="1321" w:type="dxa"/>
            <w:vMerge w:val="continue"/>
            <w:vAlign w:val="center"/>
          </w:tcPr>
          <w:p w14:paraId="4702932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p>
        </w:tc>
        <w:tc>
          <w:tcPr>
            <w:tcW w:w="737" w:type="dxa"/>
            <w:vAlign w:val="center"/>
          </w:tcPr>
          <w:p w14:paraId="3D6B2937">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p>
        </w:tc>
        <w:tc>
          <w:tcPr>
            <w:tcW w:w="7994" w:type="dxa"/>
            <w:vAlign w:val="center"/>
          </w:tcPr>
          <w:p w14:paraId="0DC10CA3">
            <w:pPr>
              <w:keepNext w:val="0"/>
              <w:keepLines w:val="0"/>
              <w:widowControl/>
              <w:suppressLineNumbers w:val="0"/>
              <w:jc w:val="left"/>
              <w:rPr>
                <w:rFonts w:ascii="宋体" w:hAnsi="宋体" w:eastAsia="宋体" w:cs="宋体"/>
                <w:b w:val="0"/>
                <w:bCs w:val="0"/>
                <w:kern w:val="0"/>
                <w:sz w:val="24"/>
                <w:szCs w:val="24"/>
                <w:lang w:val="en-US" w:eastAsia="zh-CN" w:bidi="ar"/>
              </w:rPr>
            </w:pPr>
            <w:r>
              <w:rPr>
                <w:rFonts w:ascii="宋体" w:hAnsi="宋体" w:eastAsia="宋体" w:cs="宋体"/>
                <w:b w:val="0"/>
                <w:bCs w:val="0"/>
                <w:kern w:val="0"/>
                <w:sz w:val="24"/>
                <w:szCs w:val="24"/>
                <w:lang w:val="en-US" w:eastAsia="zh-CN" w:bidi="ar"/>
              </w:rPr>
              <w:t>第十六条 （一）违反规定使用禁用、限用的农药、肥料、农膜</w:t>
            </w:r>
            <w:r>
              <w:rPr>
                <w:rFonts w:hint="eastAsia"/>
                <w:b w:val="0"/>
                <w:bCs w:val="0"/>
                <w:color w:val="0000FF"/>
                <w:lang w:eastAsia="zh-CN"/>
              </w:rPr>
              <w:t>（建议删除肥料，农膜）</w:t>
            </w:r>
            <w:r>
              <w:rPr>
                <w:rFonts w:ascii="宋体" w:hAnsi="宋体" w:eastAsia="宋体" w:cs="宋体"/>
                <w:b w:val="0"/>
                <w:bCs w:val="0"/>
                <w:kern w:val="0"/>
                <w:sz w:val="24"/>
                <w:szCs w:val="24"/>
                <w:lang w:val="en-US" w:eastAsia="zh-CN" w:bidi="ar"/>
              </w:rPr>
              <w:t>等农业投入品；</w:t>
            </w:r>
          </w:p>
        </w:tc>
        <w:tc>
          <w:tcPr>
            <w:tcW w:w="1416" w:type="dxa"/>
            <w:vAlign w:val="center"/>
          </w:tcPr>
          <w:p w14:paraId="1456AEEE">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未采纳</w:t>
            </w:r>
          </w:p>
        </w:tc>
        <w:tc>
          <w:tcPr>
            <w:tcW w:w="1814" w:type="dxa"/>
            <w:vAlign w:val="center"/>
          </w:tcPr>
          <w:p w14:paraId="48483E7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肥料和农膜都是投入品</w:t>
            </w:r>
          </w:p>
        </w:tc>
      </w:tr>
      <w:tr w14:paraId="26AB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152D9D97">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jc w:val="center"/>
              <w:textAlignment w:val="auto"/>
              <w:rPr>
                <w:rFonts w:hint="eastAsia" w:ascii="宋体" w:hAnsi="宋体" w:eastAsia="宋体" w:cs="宋体"/>
                <w:b w:val="0"/>
                <w:bCs w:val="0"/>
                <w:sz w:val="24"/>
                <w:szCs w:val="24"/>
                <w:vertAlign w:val="baseline"/>
                <w:lang w:val="en-US" w:eastAsia="zh-CN"/>
              </w:rPr>
            </w:pPr>
          </w:p>
        </w:tc>
        <w:tc>
          <w:tcPr>
            <w:tcW w:w="1321" w:type="dxa"/>
            <w:vMerge w:val="continue"/>
            <w:vAlign w:val="center"/>
          </w:tcPr>
          <w:p w14:paraId="022E32B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p>
        </w:tc>
        <w:tc>
          <w:tcPr>
            <w:tcW w:w="737" w:type="dxa"/>
            <w:vAlign w:val="center"/>
          </w:tcPr>
          <w:p w14:paraId="2928462C">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7994" w:type="dxa"/>
            <w:vAlign w:val="center"/>
          </w:tcPr>
          <w:p w14:paraId="4323A27A">
            <w:pPr>
              <w:keepNext w:val="0"/>
              <w:keepLines w:val="0"/>
              <w:widowControl/>
              <w:suppressLineNumbers w:val="0"/>
              <w:jc w:val="left"/>
              <w:rPr>
                <w:rFonts w:ascii="宋体" w:hAnsi="宋体" w:eastAsia="宋体" w:cs="宋体"/>
                <w:b w:val="0"/>
                <w:bCs w:val="0"/>
                <w:kern w:val="0"/>
                <w:sz w:val="24"/>
                <w:szCs w:val="24"/>
                <w:lang w:val="en-US" w:eastAsia="zh-CN" w:bidi="ar"/>
              </w:rPr>
            </w:pPr>
            <w:r>
              <w:rPr>
                <w:rFonts w:ascii="宋体" w:hAnsi="宋体" w:eastAsia="宋体" w:cs="宋体"/>
                <w:b w:val="0"/>
                <w:bCs w:val="0"/>
                <w:kern w:val="0"/>
                <w:sz w:val="24"/>
                <w:szCs w:val="24"/>
                <w:lang w:val="en-US" w:eastAsia="zh-CN" w:bidi="ar"/>
              </w:rPr>
              <w:t>第十六条 （二）</w:t>
            </w:r>
            <w:r>
              <w:rPr>
                <w:rFonts w:ascii="宋体" w:hAnsi="宋体" w:eastAsia="宋体" w:cs="宋体"/>
                <w:b w:val="0"/>
                <w:bCs w:val="0"/>
                <w:color w:val="0000FF"/>
                <w:kern w:val="0"/>
                <w:sz w:val="24"/>
                <w:szCs w:val="24"/>
                <w:lang w:val="en-US" w:eastAsia="zh-CN" w:bidi="ar"/>
              </w:rPr>
              <w:t>利用和</w:t>
            </w:r>
            <w:r>
              <w:rPr>
                <w:rFonts w:hint="eastAsia"/>
                <w:b w:val="0"/>
                <w:bCs w:val="0"/>
                <w:color w:val="0000FF"/>
                <w:lang w:eastAsia="zh-CN"/>
              </w:rPr>
              <w:t>（建议删除）</w:t>
            </w:r>
            <w:r>
              <w:rPr>
                <w:rFonts w:ascii="宋体" w:hAnsi="宋体" w:eastAsia="宋体" w:cs="宋体"/>
                <w:b w:val="0"/>
                <w:bCs w:val="0"/>
                <w:kern w:val="0"/>
                <w:sz w:val="24"/>
                <w:szCs w:val="24"/>
                <w:lang w:val="en-US" w:eastAsia="zh-CN" w:bidi="ar"/>
              </w:rPr>
              <w:t>使用农药残留或者重金属超标的土壤和种苗；</w:t>
            </w:r>
          </w:p>
        </w:tc>
        <w:tc>
          <w:tcPr>
            <w:tcW w:w="1416" w:type="dxa"/>
            <w:vAlign w:val="center"/>
          </w:tcPr>
          <w:p w14:paraId="45055A4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未采纳</w:t>
            </w:r>
          </w:p>
        </w:tc>
        <w:tc>
          <w:tcPr>
            <w:tcW w:w="1814" w:type="dxa"/>
            <w:vAlign w:val="center"/>
          </w:tcPr>
          <w:p w14:paraId="0782953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语言表述需要</w:t>
            </w:r>
          </w:p>
        </w:tc>
      </w:tr>
      <w:tr w14:paraId="5498C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0BB1CF6D">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jc w:val="center"/>
              <w:textAlignment w:val="auto"/>
              <w:rPr>
                <w:rFonts w:hint="eastAsia" w:ascii="宋体" w:hAnsi="宋体" w:eastAsia="宋体" w:cs="宋体"/>
                <w:b w:val="0"/>
                <w:bCs w:val="0"/>
                <w:sz w:val="24"/>
                <w:szCs w:val="24"/>
                <w:vertAlign w:val="baseline"/>
                <w:lang w:val="en-US" w:eastAsia="zh-CN"/>
              </w:rPr>
            </w:pPr>
          </w:p>
        </w:tc>
        <w:tc>
          <w:tcPr>
            <w:tcW w:w="1321" w:type="dxa"/>
            <w:vMerge w:val="continue"/>
            <w:vAlign w:val="center"/>
          </w:tcPr>
          <w:p w14:paraId="309F90E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p>
        </w:tc>
        <w:tc>
          <w:tcPr>
            <w:tcW w:w="737" w:type="dxa"/>
            <w:vAlign w:val="center"/>
          </w:tcPr>
          <w:p w14:paraId="5A232CA6">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w:t>
            </w:r>
          </w:p>
        </w:tc>
        <w:tc>
          <w:tcPr>
            <w:tcW w:w="7994" w:type="dxa"/>
            <w:vAlign w:val="center"/>
          </w:tcPr>
          <w:p w14:paraId="2DF92D3B">
            <w:pPr>
              <w:pStyle w:val="2"/>
              <w:rPr>
                <w:rFonts w:ascii="宋体" w:hAnsi="宋体" w:eastAsia="宋体" w:cs="宋体"/>
                <w:b w:val="0"/>
                <w:bCs w:val="0"/>
                <w:kern w:val="0"/>
                <w:sz w:val="24"/>
                <w:szCs w:val="24"/>
                <w:lang w:val="en-US" w:eastAsia="zh-CN" w:bidi="ar"/>
              </w:rPr>
            </w:pPr>
            <w:r>
              <w:rPr>
                <w:rFonts w:ascii="宋体" w:hAnsi="宋体" w:eastAsia="宋体" w:cs="宋体"/>
                <w:b w:val="0"/>
                <w:bCs w:val="0"/>
                <w:kern w:val="0"/>
                <w:sz w:val="24"/>
                <w:szCs w:val="24"/>
                <w:lang w:val="en-US" w:eastAsia="zh-CN" w:bidi="ar"/>
              </w:rPr>
              <w:t>第十八条  县级人民政府对人参种植备案使用的一般耕地要立足县域落实占补平衡，本级政府不能落实的由上一级政府落实，现有种植规模不再扩大</w:t>
            </w:r>
            <w:r>
              <w:rPr>
                <w:rFonts w:hint="eastAsia"/>
                <w:b w:val="0"/>
                <w:bCs w:val="0"/>
                <w:color w:val="0000FF"/>
                <w:lang w:eastAsia="zh-CN"/>
              </w:rPr>
              <w:t>（修改为人参种植规模不能突破全省计划种植规模）</w:t>
            </w:r>
            <w:r>
              <w:rPr>
                <w:rFonts w:ascii="宋体" w:hAnsi="宋体" w:eastAsia="宋体" w:cs="宋体"/>
                <w:b w:val="0"/>
                <w:bCs w:val="0"/>
                <w:kern w:val="0"/>
                <w:sz w:val="24"/>
                <w:szCs w:val="24"/>
                <w:lang w:val="en-US" w:eastAsia="zh-CN" w:bidi="ar"/>
              </w:rPr>
              <w:t>。人参种植严禁占用永久基本农田。</w:t>
            </w:r>
          </w:p>
        </w:tc>
        <w:tc>
          <w:tcPr>
            <w:tcW w:w="1416" w:type="dxa"/>
            <w:vAlign w:val="center"/>
          </w:tcPr>
          <w:p w14:paraId="67F866F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未采纳</w:t>
            </w:r>
          </w:p>
        </w:tc>
        <w:tc>
          <w:tcPr>
            <w:tcW w:w="1814" w:type="dxa"/>
            <w:vAlign w:val="center"/>
          </w:tcPr>
          <w:p w14:paraId="3C43FB4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没有相关计划内容</w:t>
            </w:r>
          </w:p>
        </w:tc>
      </w:tr>
      <w:tr w14:paraId="6EFC0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794E5C99">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jc w:val="center"/>
              <w:textAlignment w:val="auto"/>
              <w:rPr>
                <w:rFonts w:hint="eastAsia" w:ascii="宋体" w:hAnsi="宋体" w:eastAsia="宋体" w:cs="宋体"/>
                <w:b w:val="0"/>
                <w:bCs w:val="0"/>
                <w:sz w:val="24"/>
                <w:szCs w:val="24"/>
                <w:vertAlign w:val="baseline"/>
                <w:lang w:val="en-US" w:eastAsia="zh-CN"/>
              </w:rPr>
            </w:pPr>
          </w:p>
        </w:tc>
        <w:tc>
          <w:tcPr>
            <w:tcW w:w="1321" w:type="dxa"/>
            <w:vMerge w:val="continue"/>
            <w:vAlign w:val="center"/>
          </w:tcPr>
          <w:p w14:paraId="47E58E8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p>
        </w:tc>
        <w:tc>
          <w:tcPr>
            <w:tcW w:w="737" w:type="dxa"/>
            <w:vAlign w:val="center"/>
          </w:tcPr>
          <w:p w14:paraId="03EF03E8">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w:t>
            </w:r>
          </w:p>
        </w:tc>
        <w:tc>
          <w:tcPr>
            <w:tcW w:w="7994" w:type="dxa"/>
            <w:vAlign w:val="center"/>
          </w:tcPr>
          <w:p w14:paraId="61A2A8BF">
            <w:pPr>
              <w:pStyle w:val="2"/>
              <w:rPr>
                <w:rFonts w:ascii="宋体" w:hAnsi="宋体" w:eastAsia="宋体" w:cs="宋体"/>
                <w:b w:val="0"/>
                <w:bCs w:val="0"/>
                <w:kern w:val="0"/>
                <w:sz w:val="24"/>
                <w:szCs w:val="24"/>
                <w:lang w:val="en-US" w:eastAsia="zh-CN" w:bidi="ar"/>
              </w:rPr>
            </w:pPr>
            <w:r>
              <w:rPr>
                <w:rFonts w:ascii="宋体" w:hAnsi="宋体" w:eastAsia="宋体" w:cs="宋体"/>
                <w:b w:val="0"/>
                <w:bCs w:val="0"/>
                <w:kern w:val="0"/>
                <w:sz w:val="24"/>
                <w:szCs w:val="24"/>
                <w:lang w:val="en-US" w:eastAsia="zh-CN" w:bidi="ar"/>
              </w:rPr>
              <w:t>第二十三条 </w:t>
            </w:r>
            <w:r>
              <w:rPr>
                <w:rFonts w:hint="eastAsia" w:ascii="宋体" w:hAnsi="宋体" w:eastAsia="宋体" w:cs="宋体"/>
                <w:b w:val="0"/>
                <w:bCs w:val="0"/>
                <w:kern w:val="0"/>
                <w:sz w:val="24"/>
                <w:szCs w:val="24"/>
                <w:lang w:val="en-US" w:eastAsia="zh-CN" w:bidi="ar"/>
              </w:rPr>
              <w:t xml:space="preserve"> </w:t>
            </w:r>
            <w:r>
              <w:rPr>
                <w:rFonts w:ascii="宋体" w:hAnsi="宋体" w:eastAsia="宋体" w:cs="宋体"/>
                <w:b w:val="0"/>
                <w:bCs w:val="0"/>
                <w:kern w:val="0"/>
                <w:sz w:val="24"/>
                <w:szCs w:val="24"/>
                <w:lang w:val="en-US" w:eastAsia="zh-CN" w:bidi="ar"/>
              </w:rPr>
              <w:t>加工和经营农药残留、重金属、</w:t>
            </w:r>
            <w:r>
              <w:rPr>
                <w:rFonts w:hint="eastAsia" w:ascii="宋体" w:hAnsi="宋体" w:eastAsia="宋体" w:cs="宋体"/>
                <w:b w:val="0"/>
                <w:bCs w:val="0"/>
                <w:color w:val="0000FF"/>
                <w:kern w:val="0"/>
                <w:sz w:val="24"/>
                <w:szCs w:val="24"/>
                <w:lang w:val="en-US" w:eastAsia="zh-CN" w:bidi="ar"/>
              </w:rPr>
              <w:t>（</w:t>
            </w:r>
            <w:r>
              <w:rPr>
                <w:rFonts w:hint="eastAsia"/>
                <w:b w:val="0"/>
                <w:bCs w:val="0"/>
                <w:color w:val="0000FF"/>
                <w:lang w:eastAsia="zh-CN"/>
              </w:rPr>
              <w:t>删除，和污染物重复</w:t>
            </w:r>
            <w:r>
              <w:rPr>
                <w:rFonts w:hint="eastAsia" w:ascii="宋体" w:hAnsi="宋体" w:eastAsia="宋体" w:cs="宋体"/>
                <w:b w:val="0"/>
                <w:bCs w:val="0"/>
                <w:color w:val="0000FF"/>
                <w:kern w:val="0"/>
                <w:sz w:val="24"/>
                <w:szCs w:val="24"/>
                <w:lang w:val="en-US" w:eastAsia="zh-CN" w:bidi="ar"/>
              </w:rPr>
              <w:t>）</w:t>
            </w:r>
            <w:r>
              <w:rPr>
                <w:rFonts w:ascii="宋体" w:hAnsi="宋体" w:eastAsia="宋体" w:cs="宋体"/>
                <w:b w:val="0"/>
                <w:bCs w:val="0"/>
                <w:kern w:val="0"/>
                <w:sz w:val="24"/>
                <w:szCs w:val="24"/>
                <w:lang w:val="en-US" w:eastAsia="zh-CN" w:bidi="ar"/>
              </w:rPr>
              <w:t>污染物以及其他危害人体健康物质的含量超过相关质量安全标准限量的人参及其产品；</w:t>
            </w:r>
          </w:p>
        </w:tc>
        <w:tc>
          <w:tcPr>
            <w:tcW w:w="1416" w:type="dxa"/>
            <w:vAlign w:val="center"/>
          </w:tcPr>
          <w:p w14:paraId="21FA7273">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采纳</w:t>
            </w:r>
          </w:p>
        </w:tc>
        <w:tc>
          <w:tcPr>
            <w:tcW w:w="1814" w:type="dxa"/>
            <w:vAlign w:val="center"/>
          </w:tcPr>
          <w:p w14:paraId="2F0B61E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val="en-US" w:eastAsia="zh-CN"/>
              </w:rPr>
            </w:pPr>
          </w:p>
        </w:tc>
      </w:tr>
      <w:tr w14:paraId="20718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39744CFE">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jc w:val="center"/>
              <w:textAlignment w:val="auto"/>
              <w:rPr>
                <w:rFonts w:hint="eastAsia" w:ascii="宋体" w:hAnsi="宋体" w:eastAsia="宋体" w:cs="宋体"/>
                <w:b w:val="0"/>
                <w:bCs w:val="0"/>
                <w:sz w:val="24"/>
                <w:szCs w:val="24"/>
                <w:vertAlign w:val="baseline"/>
                <w:lang w:val="en-US" w:eastAsia="zh-CN"/>
              </w:rPr>
            </w:pPr>
          </w:p>
        </w:tc>
        <w:tc>
          <w:tcPr>
            <w:tcW w:w="1321" w:type="dxa"/>
            <w:vMerge w:val="continue"/>
            <w:vAlign w:val="center"/>
          </w:tcPr>
          <w:p w14:paraId="64C9C18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p>
        </w:tc>
        <w:tc>
          <w:tcPr>
            <w:tcW w:w="737" w:type="dxa"/>
            <w:vAlign w:val="center"/>
          </w:tcPr>
          <w:p w14:paraId="37E2F79E">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w:t>
            </w:r>
          </w:p>
        </w:tc>
        <w:tc>
          <w:tcPr>
            <w:tcW w:w="7994" w:type="dxa"/>
            <w:vAlign w:val="center"/>
          </w:tcPr>
          <w:p w14:paraId="6FDA1A1D">
            <w:pPr>
              <w:pStyle w:val="2"/>
              <w:rPr>
                <w:rFonts w:hint="eastAsia" w:ascii="宋体" w:hAnsi="宋体" w:cs="宋体" w:eastAsiaTheme="minorEastAsia"/>
                <w:b w:val="0"/>
                <w:bCs w:val="0"/>
                <w:kern w:val="0"/>
                <w:sz w:val="24"/>
                <w:szCs w:val="24"/>
                <w:lang w:val="en-US" w:eastAsia="zh-CN" w:bidi="ar"/>
              </w:rPr>
            </w:pPr>
            <w:r>
              <w:rPr>
                <w:rFonts w:ascii="宋体" w:hAnsi="宋体" w:eastAsia="宋体" w:cs="宋体"/>
                <w:b w:val="0"/>
                <w:bCs w:val="0"/>
                <w:kern w:val="0"/>
                <w:sz w:val="24"/>
                <w:szCs w:val="24"/>
                <w:lang w:val="en-US" w:eastAsia="zh-CN" w:bidi="ar"/>
              </w:rPr>
              <w:t>第二十六条</w:t>
            </w:r>
            <w:r>
              <w:rPr>
                <w:rFonts w:hint="eastAsia" w:ascii="宋体" w:hAnsi="宋体" w:eastAsia="宋体" w:cs="宋体"/>
                <w:b w:val="0"/>
                <w:bCs w:val="0"/>
                <w:kern w:val="0"/>
                <w:sz w:val="24"/>
                <w:szCs w:val="24"/>
                <w:lang w:val="en-US" w:eastAsia="zh-CN" w:bidi="ar"/>
              </w:rPr>
              <w:t xml:space="preserve"> </w:t>
            </w:r>
            <w:r>
              <w:rPr>
                <w:rFonts w:ascii="宋体" w:hAnsi="宋体" w:eastAsia="宋体" w:cs="宋体"/>
                <w:b w:val="0"/>
                <w:bCs w:val="0"/>
                <w:kern w:val="0"/>
                <w:sz w:val="24"/>
                <w:szCs w:val="24"/>
                <w:lang w:val="en-US" w:eastAsia="zh-CN" w:bidi="ar"/>
              </w:rPr>
              <w:t>网络交易平台经营者对人参及其产品信息</w:t>
            </w:r>
            <w:r>
              <w:rPr>
                <w:rFonts w:hint="eastAsia"/>
                <w:b w:val="0"/>
                <w:bCs w:val="0"/>
                <w:color w:val="0000FF"/>
                <w:lang w:val="en-US" w:eastAsia="zh-CN"/>
              </w:rPr>
              <w:t>（查验人参及其产品的检验报告或承诺达标合格证</w:t>
            </w:r>
            <w:r>
              <w:rPr>
                <w:rFonts w:hint="eastAsia"/>
                <w:b w:val="0"/>
                <w:bCs w:val="0"/>
                <w:color w:val="0000FF"/>
                <w:lang w:eastAsia="zh-CN"/>
              </w:rPr>
              <w:t>）</w:t>
            </w:r>
            <w:r>
              <w:rPr>
                <w:rFonts w:ascii="宋体" w:hAnsi="宋体" w:eastAsia="宋体" w:cs="宋体"/>
                <w:b w:val="0"/>
                <w:bCs w:val="0"/>
                <w:kern w:val="0"/>
                <w:sz w:val="24"/>
                <w:szCs w:val="24"/>
                <w:lang w:val="en-US" w:eastAsia="zh-CN" w:bidi="ar"/>
              </w:rPr>
              <w:t>，支付记录、物流快递、退换货以及售后等交易信息的保存时间自交易完成之日起不少于三年。</w:t>
            </w:r>
            <w:r>
              <w:rPr>
                <w:rFonts w:hint="eastAsia"/>
                <w:b w:val="0"/>
                <w:bCs w:val="0"/>
                <w:color w:val="0000FF"/>
                <w:lang w:val="en-US" w:eastAsia="zh-CN"/>
              </w:rPr>
              <w:t>（网络交易平台经营者对网络人参及其产品交易发现经营者有违法行为的，应当及时制止，并立即将有关情况报告辖区市场监管部门处理。）</w:t>
            </w:r>
          </w:p>
        </w:tc>
        <w:tc>
          <w:tcPr>
            <w:tcW w:w="1416" w:type="dxa"/>
            <w:vAlign w:val="center"/>
          </w:tcPr>
          <w:p w14:paraId="6CC850E6">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未采纳</w:t>
            </w:r>
          </w:p>
        </w:tc>
        <w:tc>
          <w:tcPr>
            <w:tcW w:w="1814" w:type="dxa"/>
            <w:vAlign w:val="center"/>
          </w:tcPr>
          <w:p w14:paraId="44488AE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目前未广泛推行承诺达标合格证</w:t>
            </w:r>
          </w:p>
        </w:tc>
      </w:tr>
      <w:tr w14:paraId="36DE9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71D33617">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jc w:val="center"/>
              <w:textAlignment w:val="auto"/>
              <w:rPr>
                <w:rFonts w:hint="eastAsia" w:ascii="宋体" w:hAnsi="宋体" w:eastAsia="宋体" w:cs="宋体"/>
                <w:b w:val="0"/>
                <w:bCs w:val="0"/>
                <w:sz w:val="24"/>
                <w:szCs w:val="24"/>
                <w:vertAlign w:val="baseline"/>
                <w:lang w:val="en-US" w:eastAsia="zh-CN"/>
              </w:rPr>
            </w:pPr>
          </w:p>
        </w:tc>
        <w:tc>
          <w:tcPr>
            <w:tcW w:w="1321" w:type="dxa"/>
            <w:vMerge w:val="continue"/>
            <w:vAlign w:val="center"/>
          </w:tcPr>
          <w:p w14:paraId="10EA997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p>
        </w:tc>
        <w:tc>
          <w:tcPr>
            <w:tcW w:w="737" w:type="dxa"/>
            <w:vAlign w:val="center"/>
          </w:tcPr>
          <w:p w14:paraId="7658951D">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w:t>
            </w:r>
          </w:p>
        </w:tc>
        <w:tc>
          <w:tcPr>
            <w:tcW w:w="7994" w:type="dxa"/>
            <w:vAlign w:val="center"/>
          </w:tcPr>
          <w:p w14:paraId="51F22AA1">
            <w:pPr>
              <w:pStyle w:val="2"/>
              <w:rPr>
                <w:rFonts w:ascii="宋体" w:hAnsi="宋体" w:eastAsia="宋体" w:cs="宋体"/>
                <w:b w:val="0"/>
                <w:bCs w:val="0"/>
                <w:kern w:val="0"/>
                <w:sz w:val="24"/>
                <w:szCs w:val="24"/>
                <w:lang w:val="en-US" w:eastAsia="zh-CN" w:bidi="ar"/>
              </w:rPr>
            </w:pPr>
            <w:r>
              <w:rPr>
                <w:rFonts w:ascii="宋体" w:hAnsi="宋体" w:eastAsia="宋体" w:cs="宋体"/>
                <w:b w:val="0"/>
                <w:bCs w:val="0"/>
                <w:kern w:val="0"/>
                <w:sz w:val="24"/>
                <w:szCs w:val="24"/>
                <w:lang w:val="en-US" w:eastAsia="zh-CN" w:bidi="ar"/>
              </w:rPr>
              <w:t>第二十九条  加工和经营散装人参及其产品，应当在散装人参及其产品的容器</w:t>
            </w:r>
            <w:r>
              <w:rPr>
                <w:rFonts w:ascii="宋体" w:hAnsi="宋体" w:eastAsia="宋体" w:cs="宋体"/>
                <w:b w:val="0"/>
                <w:bCs w:val="0"/>
                <w:color w:val="0000FF"/>
                <w:kern w:val="0"/>
                <w:sz w:val="24"/>
                <w:szCs w:val="24"/>
                <w:lang w:val="en-US" w:eastAsia="zh-CN" w:bidi="ar"/>
              </w:rPr>
              <w:t>或者外包装</w:t>
            </w:r>
            <w:r>
              <w:rPr>
                <w:rFonts w:hint="eastAsia" w:asciiTheme="minorHAnsi" w:hAnsiTheme="minorHAnsi" w:eastAsiaTheme="minorEastAsia" w:cstheme="minorBidi"/>
                <w:b w:val="0"/>
                <w:bCs w:val="0"/>
                <w:color w:val="0000FF"/>
                <w:kern w:val="2"/>
                <w:sz w:val="21"/>
                <w:szCs w:val="24"/>
                <w:lang w:val="en-US" w:eastAsia="zh-CN" w:bidi="ar-SA"/>
              </w:rPr>
              <w:t>（建议删除）</w:t>
            </w:r>
            <w:r>
              <w:rPr>
                <w:rFonts w:ascii="宋体" w:hAnsi="宋体" w:eastAsia="宋体" w:cs="宋体"/>
                <w:b w:val="0"/>
                <w:bCs w:val="0"/>
                <w:kern w:val="0"/>
                <w:sz w:val="24"/>
                <w:szCs w:val="24"/>
                <w:lang w:val="en-US" w:eastAsia="zh-CN" w:bidi="ar"/>
              </w:rPr>
              <w:t>上标明产品名称、生产日期、保质期、加工者和经营者名称以及联系方式等内容。</w:t>
            </w:r>
          </w:p>
        </w:tc>
        <w:tc>
          <w:tcPr>
            <w:tcW w:w="1416" w:type="dxa"/>
            <w:vAlign w:val="center"/>
          </w:tcPr>
          <w:p w14:paraId="50C413BD">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未采纳</w:t>
            </w:r>
          </w:p>
        </w:tc>
        <w:tc>
          <w:tcPr>
            <w:tcW w:w="1814" w:type="dxa"/>
            <w:vAlign w:val="center"/>
          </w:tcPr>
          <w:p w14:paraId="41A8433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部分产品容器即为外包装</w:t>
            </w:r>
          </w:p>
        </w:tc>
      </w:tr>
      <w:tr w14:paraId="4976F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74DB7EBC">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jc w:val="center"/>
              <w:textAlignment w:val="auto"/>
              <w:rPr>
                <w:rFonts w:hint="eastAsia" w:ascii="宋体" w:hAnsi="宋体" w:eastAsia="宋体" w:cs="宋体"/>
                <w:b w:val="0"/>
                <w:bCs w:val="0"/>
                <w:sz w:val="24"/>
                <w:szCs w:val="24"/>
                <w:vertAlign w:val="baseline"/>
                <w:lang w:val="en-US" w:eastAsia="zh-CN"/>
              </w:rPr>
            </w:pPr>
          </w:p>
        </w:tc>
        <w:tc>
          <w:tcPr>
            <w:tcW w:w="1321" w:type="dxa"/>
            <w:vMerge w:val="continue"/>
            <w:vAlign w:val="center"/>
          </w:tcPr>
          <w:p w14:paraId="40E7333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p>
        </w:tc>
        <w:tc>
          <w:tcPr>
            <w:tcW w:w="737" w:type="dxa"/>
            <w:vAlign w:val="center"/>
          </w:tcPr>
          <w:p w14:paraId="7DE08896">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c>
          <w:tcPr>
            <w:tcW w:w="7994" w:type="dxa"/>
            <w:vAlign w:val="center"/>
          </w:tcPr>
          <w:p w14:paraId="17D1106C">
            <w:pPr>
              <w:pStyle w:val="2"/>
              <w:rPr>
                <w:rFonts w:ascii="宋体" w:hAnsi="宋体" w:eastAsia="宋体" w:cs="宋体"/>
                <w:b w:val="0"/>
                <w:bCs w:val="0"/>
                <w:kern w:val="0"/>
                <w:sz w:val="24"/>
                <w:szCs w:val="24"/>
                <w:lang w:val="en-US" w:eastAsia="zh-CN" w:bidi="ar"/>
              </w:rPr>
            </w:pPr>
            <w:r>
              <w:rPr>
                <w:rFonts w:ascii="宋体" w:hAnsi="宋体" w:eastAsia="宋体" w:cs="宋体"/>
                <w:b w:val="0"/>
                <w:bCs w:val="0"/>
                <w:kern w:val="0"/>
                <w:sz w:val="24"/>
                <w:szCs w:val="24"/>
                <w:lang w:val="en-US" w:eastAsia="zh-CN" w:bidi="ar"/>
              </w:rPr>
              <w:t>第三十二条  省、市（州）人民政府</w:t>
            </w:r>
            <w:r>
              <w:rPr>
                <w:rFonts w:hint="eastAsia"/>
                <w:b w:val="0"/>
                <w:bCs w:val="0"/>
                <w:color w:val="0000FF"/>
                <w:lang w:eastAsia="zh-CN"/>
              </w:rPr>
              <w:t>（加入标准化主管部门）</w:t>
            </w:r>
            <w:r>
              <w:rPr>
                <w:rFonts w:ascii="宋体" w:hAnsi="宋体" w:eastAsia="宋体" w:cs="宋体"/>
                <w:b w:val="0"/>
                <w:bCs w:val="0"/>
                <w:kern w:val="0"/>
                <w:sz w:val="24"/>
                <w:szCs w:val="24"/>
                <w:lang w:val="en-US" w:eastAsia="zh-CN" w:bidi="ar"/>
              </w:rPr>
              <w:t>应积极推进人参标准体系建设，加快地方标准制修订及宣贯工作。</w:t>
            </w:r>
          </w:p>
        </w:tc>
        <w:tc>
          <w:tcPr>
            <w:tcW w:w="1416" w:type="dxa"/>
            <w:vAlign w:val="center"/>
          </w:tcPr>
          <w:p w14:paraId="2825C70F">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未采纳</w:t>
            </w:r>
          </w:p>
        </w:tc>
        <w:tc>
          <w:tcPr>
            <w:tcW w:w="1814" w:type="dxa"/>
            <w:vAlign w:val="center"/>
          </w:tcPr>
          <w:p w14:paraId="3C0CF60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部门不能成为实施主体</w:t>
            </w:r>
          </w:p>
        </w:tc>
      </w:tr>
      <w:tr w14:paraId="4CCC8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4DF479ED">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jc w:val="center"/>
              <w:textAlignment w:val="auto"/>
              <w:rPr>
                <w:rFonts w:hint="eastAsia" w:ascii="宋体" w:hAnsi="宋体" w:eastAsia="宋体" w:cs="宋体"/>
                <w:b w:val="0"/>
                <w:bCs w:val="0"/>
                <w:sz w:val="24"/>
                <w:szCs w:val="24"/>
                <w:vertAlign w:val="baseline"/>
                <w:lang w:val="en-US" w:eastAsia="zh-CN"/>
              </w:rPr>
            </w:pPr>
          </w:p>
        </w:tc>
        <w:tc>
          <w:tcPr>
            <w:tcW w:w="1321" w:type="dxa"/>
            <w:vMerge w:val="continue"/>
            <w:vAlign w:val="center"/>
          </w:tcPr>
          <w:p w14:paraId="4A52979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p>
        </w:tc>
        <w:tc>
          <w:tcPr>
            <w:tcW w:w="737" w:type="dxa"/>
            <w:vAlign w:val="center"/>
          </w:tcPr>
          <w:p w14:paraId="402E09F0">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11</w:t>
            </w:r>
          </w:p>
        </w:tc>
        <w:tc>
          <w:tcPr>
            <w:tcW w:w="7994" w:type="dxa"/>
            <w:vAlign w:val="center"/>
          </w:tcPr>
          <w:p w14:paraId="78765E14">
            <w:pPr>
              <w:keepNext w:val="0"/>
              <w:keepLines w:val="0"/>
              <w:widowControl/>
              <w:suppressLineNumbers w:val="0"/>
              <w:jc w:val="left"/>
              <w:rPr>
                <w:rFonts w:ascii="宋体" w:hAnsi="宋体" w:eastAsia="宋体" w:cs="宋体"/>
                <w:b w:val="0"/>
                <w:bCs w:val="0"/>
                <w:kern w:val="0"/>
                <w:sz w:val="24"/>
                <w:szCs w:val="24"/>
                <w:lang w:val="en-US" w:eastAsia="zh-CN" w:bidi="ar"/>
              </w:rPr>
            </w:pPr>
            <w:r>
              <w:rPr>
                <w:rFonts w:ascii="宋体" w:hAnsi="宋体" w:eastAsia="宋体" w:cs="宋体"/>
                <w:b w:val="0"/>
                <w:bCs w:val="0"/>
                <w:kern w:val="0"/>
                <w:sz w:val="24"/>
                <w:szCs w:val="24"/>
                <w:lang w:val="en-US" w:eastAsia="zh-CN" w:bidi="ar"/>
              </w:rPr>
              <w:t>第三十六条  从事人参检验检测的机构</w:t>
            </w:r>
            <w:r>
              <w:rPr>
                <w:rFonts w:ascii="宋体" w:hAnsi="宋体" w:eastAsia="宋体" w:cs="宋体"/>
                <w:b w:val="0"/>
                <w:bCs w:val="0"/>
                <w:color w:val="0000FF"/>
                <w:kern w:val="0"/>
                <w:sz w:val="24"/>
                <w:szCs w:val="24"/>
                <w:lang w:val="en-US" w:eastAsia="zh-CN" w:bidi="ar"/>
              </w:rPr>
              <w:t>和人参鉴定的机构</w:t>
            </w:r>
            <w:r>
              <w:rPr>
                <w:rFonts w:hint="eastAsia"/>
                <w:b w:val="0"/>
                <w:bCs w:val="0"/>
                <w:color w:val="0000FF"/>
                <w:lang w:eastAsia="zh-CN"/>
              </w:rPr>
              <w:t>（删除，和前面重复）</w:t>
            </w:r>
            <w:r>
              <w:rPr>
                <w:rFonts w:ascii="宋体" w:hAnsi="宋体" w:eastAsia="宋体" w:cs="宋体"/>
                <w:b w:val="0"/>
                <w:bCs w:val="0"/>
                <w:kern w:val="0"/>
                <w:sz w:val="24"/>
                <w:szCs w:val="24"/>
                <w:lang w:val="en-US" w:eastAsia="zh-CN" w:bidi="ar"/>
              </w:rPr>
              <w:t>应当具有国家规定的从业资质资格。</w:t>
            </w:r>
          </w:p>
        </w:tc>
        <w:tc>
          <w:tcPr>
            <w:tcW w:w="1416" w:type="dxa"/>
            <w:vAlign w:val="center"/>
          </w:tcPr>
          <w:p w14:paraId="0D729A6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未采纳</w:t>
            </w:r>
          </w:p>
        </w:tc>
        <w:tc>
          <w:tcPr>
            <w:tcW w:w="1814" w:type="dxa"/>
            <w:vAlign w:val="center"/>
          </w:tcPr>
          <w:p w14:paraId="5AA31EE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检测机构和鉴定机构不同</w:t>
            </w:r>
          </w:p>
        </w:tc>
      </w:tr>
      <w:tr w14:paraId="7326C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40FC3F7F">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jc w:val="center"/>
              <w:textAlignment w:val="auto"/>
              <w:rPr>
                <w:rFonts w:hint="eastAsia" w:ascii="宋体" w:hAnsi="宋体" w:eastAsia="宋体" w:cs="宋体"/>
                <w:b w:val="0"/>
                <w:bCs w:val="0"/>
                <w:sz w:val="24"/>
                <w:szCs w:val="24"/>
                <w:vertAlign w:val="baseline"/>
                <w:lang w:val="en-US" w:eastAsia="zh-CN"/>
              </w:rPr>
            </w:pPr>
          </w:p>
        </w:tc>
        <w:tc>
          <w:tcPr>
            <w:tcW w:w="1321" w:type="dxa"/>
            <w:vMerge w:val="continue"/>
            <w:vAlign w:val="center"/>
          </w:tcPr>
          <w:p w14:paraId="7B3677F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p>
        </w:tc>
        <w:tc>
          <w:tcPr>
            <w:tcW w:w="737" w:type="dxa"/>
            <w:vAlign w:val="center"/>
          </w:tcPr>
          <w:p w14:paraId="40D83C4A">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w:t>
            </w:r>
          </w:p>
        </w:tc>
        <w:tc>
          <w:tcPr>
            <w:tcW w:w="7994" w:type="dxa"/>
            <w:vAlign w:val="center"/>
          </w:tcPr>
          <w:p w14:paraId="4B4B52CE">
            <w:pPr>
              <w:keepNext w:val="0"/>
              <w:keepLines w:val="0"/>
              <w:widowControl/>
              <w:suppressLineNumbers w:val="0"/>
              <w:jc w:val="left"/>
              <w:rPr>
                <w:rFonts w:ascii="宋体" w:hAnsi="宋体" w:eastAsia="宋体" w:cs="宋体"/>
                <w:b w:val="0"/>
                <w:bCs w:val="0"/>
                <w:kern w:val="0"/>
                <w:sz w:val="24"/>
                <w:szCs w:val="24"/>
                <w:lang w:val="en-US" w:eastAsia="zh-CN" w:bidi="ar"/>
              </w:rPr>
            </w:pPr>
            <w:r>
              <w:rPr>
                <w:rFonts w:ascii="宋体" w:hAnsi="宋体" w:eastAsia="宋体" w:cs="宋体"/>
                <w:b w:val="0"/>
                <w:bCs w:val="0"/>
                <w:kern w:val="0"/>
                <w:sz w:val="24"/>
                <w:szCs w:val="24"/>
                <w:lang w:val="en-US" w:eastAsia="zh-CN" w:bidi="ar"/>
              </w:rPr>
              <w:t>第三十七条  人参检验检测</w:t>
            </w:r>
            <w:r>
              <w:rPr>
                <w:rFonts w:ascii="宋体" w:hAnsi="宋体" w:eastAsia="宋体" w:cs="宋体"/>
                <w:b w:val="0"/>
                <w:bCs w:val="0"/>
                <w:color w:val="0000FF"/>
                <w:kern w:val="0"/>
                <w:sz w:val="24"/>
                <w:szCs w:val="24"/>
                <w:lang w:val="en-US" w:eastAsia="zh-CN" w:bidi="ar"/>
              </w:rPr>
              <w:t>和鉴定</w:t>
            </w:r>
            <w:r>
              <w:rPr>
                <w:rFonts w:hint="eastAsia" w:ascii="宋体" w:hAnsi="宋体" w:eastAsia="宋体" w:cs="宋体"/>
                <w:b w:val="0"/>
                <w:bCs w:val="0"/>
                <w:color w:val="0000FF"/>
                <w:kern w:val="0"/>
                <w:sz w:val="24"/>
                <w:szCs w:val="24"/>
                <w:lang w:val="en-US" w:eastAsia="zh-CN" w:bidi="ar"/>
              </w:rPr>
              <w:t>（</w:t>
            </w:r>
            <w:r>
              <w:rPr>
                <w:rFonts w:hint="eastAsia"/>
                <w:b w:val="0"/>
                <w:bCs w:val="0"/>
                <w:color w:val="0000FF"/>
                <w:lang w:eastAsia="zh-CN"/>
              </w:rPr>
              <w:t>删除，和前面重复</w:t>
            </w:r>
            <w:r>
              <w:rPr>
                <w:rFonts w:hint="eastAsia" w:ascii="宋体" w:hAnsi="宋体" w:eastAsia="宋体" w:cs="宋体"/>
                <w:b w:val="0"/>
                <w:bCs w:val="0"/>
                <w:color w:val="0000FF"/>
                <w:kern w:val="0"/>
                <w:sz w:val="24"/>
                <w:szCs w:val="24"/>
                <w:lang w:val="en-US" w:eastAsia="zh-CN" w:bidi="ar"/>
              </w:rPr>
              <w:t>）</w:t>
            </w:r>
            <w:r>
              <w:rPr>
                <w:rFonts w:ascii="宋体" w:hAnsi="宋体" w:eastAsia="宋体" w:cs="宋体"/>
                <w:b w:val="0"/>
                <w:bCs w:val="0"/>
                <w:kern w:val="0"/>
                <w:sz w:val="24"/>
                <w:szCs w:val="24"/>
                <w:lang w:val="en-US" w:eastAsia="zh-CN" w:bidi="ar"/>
              </w:rPr>
              <w:t>实行检验检测机构</w:t>
            </w:r>
            <w:r>
              <w:rPr>
                <w:rFonts w:ascii="宋体" w:hAnsi="宋体" w:eastAsia="宋体" w:cs="宋体"/>
                <w:b w:val="0"/>
                <w:bCs w:val="0"/>
                <w:color w:val="0000FF"/>
                <w:kern w:val="0"/>
                <w:sz w:val="24"/>
                <w:szCs w:val="24"/>
                <w:lang w:val="en-US" w:eastAsia="zh-CN" w:bidi="ar"/>
              </w:rPr>
              <w:t>以及鉴定机构</w:t>
            </w:r>
            <w:r>
              <w:rPr>
                <w:rFonts w:hint="eastAsia"/>
                <w:b w:val="0"/>
                <w:bCs w:val="0"/>
                <w:lang w:eastAsia="zh-CN"/>
              </w:rPr>
              <w:t>（删除，和前面重复）</w:t>
            </w:r>
            <w:r>
              <w:rPr>
                <w:rFonts w:ascii="宋体" w:hAnsi="宋体" w:eastAsia="宋体" w:cs="宋体"/>
                <w:b w:val="0"/>
                <w:bCs w:val="0"/>
                <w:kern w:val="0"/>
                <w:sz w:val="24"/>
                <w:szCs w:val="24"/>
                <w:lang w:val="en-US" w:eastAsia="zh-CN" w:bidi="ar"/>
              </w:rPr>
              <w:t>终身负责制。</w:t>
            </w:r>
          </w:p>
        </w:tc>
        <w:tc>
          <w:tcPr>
            <w:tcW w:w="1416" w:type="dxa"/>
            <w:vAlign w:val="center"/>
          </w:tcPr>
          <w:p w14:paraId="06AC3AD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未采纳</w:t>
            </w:r>
          </w:p>
        </w:tc>
        <w:tc>
          <w:tcPr>
            <w:tcW w:w="1814" w:type="dxa"/>
            <w:vAlign w:val="center"/>
          </w:tcPr>
          <w:p w14:paraId="0C4BBEA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检测机构和鉴定机构不同</w:t>
            </w:r>
          </w:p>
        </w:tc>
      </w:tr>
      <w:tr w14:paraId="44D4B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7A7BF9B0">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jc w:val="center"/>
              <w:textAlignment w:val="auto"/>
              <w:rPr>
                <w:rFonts w:hint="eastAsia" w:ascii="宋体" w:hAnsi="宋体" w:eastAsia="宋体" w:cs="宋体"/>
                <w:b w:val="0"/>
                <w:bCs w:val="0"/>
                <w:sz w:val="24"/>
                <w:szCs w:val="24"/>
                <w:vertAlign w:val="baseline"/>
                <w:lang w:val="en-US" w:eastAsia="zh-CN"/>
              </w:rPr>
            </w:pPr>
          </w:p>
        </w:tc>
        <w:tc>
          <w:tcPr>
            <w:tcW w:w="1321" w:type="dxa"/>
            <w:vMerge w:val="continue"/>
            <w:vAlign w:val="center"/>
          </w:tcPr>
          <w:p w14:paraId="1DA2154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p>
        </w:tc>
        <w:tc>
          <w:tcPr>
            <w:tcW w:w="737" w:type="dxa"/>
            <w:vAlign w:val="center"/>
          </w:tcPr>
          <w:p w14:paraId="0142A6B7">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13</w:t>
            </w:r>
          </w:p>
        </w:tc>
        <w:tc>
          <w:tcPr>
            <w:tcW w:w="7994" w:type="dxa"/>
            <w:vAlign w:val="center"/>
          </w:tcPr>
          <w:p w14:paraId="2E23DE3E">
            <w:pPr>
              <w:pStyle w:val="2"/>
              <w:rPr>
                <w:rFonts w:ascii="宋体" w:hAnsi="宋体" w:eastAsia="宋体" w:cs="宋体"/>
                <w:b w:val="0"/>
                <w:bCs w:val="0"/>
                <w:kern w:val="0"/>
                <w:sz w:val="24"/>
                <w:szCs w:val="24"/>
                <w:lang w:val="en-US" w:eastAsia="zh-CN" w:bidi="ar"/>
              </w:rPr>
            </w:pPr>
            <w:r>
              <w:rPr>
                <w:rFonts w:ascii="宋体" w:hAnsi="宋体" w:eastAsia="宋体" w:cs="宋体"/>
                <w:b w:val="0"/>
                <w:bCs w:val="0"/>
                <w:kern w:val="0"/>
                <w:sz w:val="24"/>
                <w:szCs w:val="24"/>
                <w:lang w:val="en-US" w:eastAsia="zh-CN" w:bidi="ar"/>
              </w:rPr>
              <w:t>第三十八条  省人民政府和人参种植重点发展区域的县级人民政府应当设立人参产业发展予以</w:t>
            </w:r>
            <w:r>
              <w:rPr>
                <w:rFonts w:ascii="宋体" w:hAnsi="宋体" w:eastAsia="宋体" w:cs="宋体"/>
                <w:b w:val="0"/>
                <w:bCs w:val="0"/>
                <w:color w:val="0000FF"/>
                <w:kern w:val="0"/>
                <w:sz w:val="24"/>
                <w:szCs w:val="24"/>
                <w:lang w:val="en-US" w:eastAsia="zh-CN" w:bidi="ar"/>
              </w:rPr>
              <w:t>资金扶持</w:t>
            </w:r>
            <w:r>
              <w:rPr>
                <w:rFonts w:hint="eastAsia"/>
                <w:b w:val="0"/>
                <w:bCs w:val="0"/>
                <w:color w:val="0000FF"/>
                <w:lang w:eastAsia="zh-CN"/>
              </w:rPr>
              <w:t>（扶持资金）</w:t>
            </w:r>
            <w:r>
              <w:rPr>
                <w:rFonts w:ascii="宋体" w:hAnsi="宋体" w:eastAsia="宋体" w:cs="宋体"/>
                <w:b w:val="0"/>
                <w:bCs w:val="0"/>
                <w:kern w:val="0"/>
                <w:sz w:val="24"/>
                <w:szCs w:val="24"/>
                <w:lang w:val="en-US" w:eastAsia="zh-CN" w:bidi="ar"/>
              </w:rPr>
              <w:t>，鼓励和支持建立人参产业发展融资平台，发展人参专业信贷担保，引导人参生产加工企业以物权、知识产权和股权抵押、出资等方式融资。</w:t>
            </w:r>
          </w:p>
        </w:tc>
        <w:tc>
          <w:tcPr>
            <w:tcW w:w="1416" w:type="dxa"/>
            <w:vAlign w:val="center"/>
          </w:tcPr>
          <w:p w14:paraId="23413135">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未采纳</w:t>
            </w:r>
          </w:p>
        </w:tc>
        <w:tc>
          <w:tcPr>
            <w:tcW w:w="1814" w:type="dxa"/>
            <w:vAlign w:val="center"/>
          </w:tcPr>
          <w:p w14:paraId="5C65ABD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表述不准确</w:t>
            </w:r>
          </w:p>
        </w:tc>
      </w:tr>
      <w:tr w14:paraId="0B2E4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42434B50">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jc w:val="center"/>
              <w:textAlignment w:val="auto"/>
              <w:rPr>
                <w:rFonts w:hint="eastAsia" w:ascii="宋体" w:hAnsi="宋体" w:eastAsia="宋体" w:cs="宋体"/>
                <w:b w:val="0"/>
                <w:bCs w:val="0"/>
                <w:sz w:val="24"/>
                <w:szCs w:val="24"/>
                <w:vertAlign w:val="baseline"/>
                <w:lang w:val="en-US" w:eastAsia="zh-CN"/>
              </w:rPr>
            </w:pPr>
          </w:p>
        </w:tc>
        <w:tc>
          <w:tcPr>
            <w:tcW w:w="1321" w:type="dxa"/>
            <w:vMerge w:val="continue"/>
            <w:vAlign w:val="center"/>
          </w:tcPr>
          <w:p w14:paraId="35CC96B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p>
        </w:tc>
        <w:tc>
          <w:tcPr>
            <w:tcW w:w="737" w:type="dxa"/>
            <w:vAlign w:val="center"/>
          </w:tcPr>
          <w:p w14:paraId="3C9FE85C">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14</w:t>
            </w:r>
          </w:p>
        </w:tc>
        <w:tc>
          <w:tcPr>
            <w:tcW w:w="7994" w:type="dxa"/>
            <w:vAlign w:val="center"/>
          </w:tcPr>
          <w:p w14:paraId="4E52BCD9">
            <w:pPr>
              <w:keepNext w:val="0"/>
              <w:keepLines w:val="0"/>
              <w:widowControl/>
              <w:suppressLineNumbers w:val="0"/>
              <w:jc w:val="left"/>
              <w:rPr>
                <w:rFonts w:ascii="宋体" w:hAnsi="宋体" w:eastAsia="宋体" w:cs="宋体"/>
                <w:b w:val="0"/>
                <w:bCs w:val="0"/>
                <w:kern w:val="0"/>
                <w:sz w:val="24"/>
                <w:szCs w:val="24"/>
                <w:lang w:val="en-US" w:eastAsia="zh-CN" w:bidi="ar"/>
              </w:rPr>
            </w:pPr>
            <w:r>
              <w:rPr>
                <w:rFonts w:ascii="宋体" w:hAnsi="宋体" w:eastAsia="宋体" w:cs="宋体"/>
                <w:b w:val="0"/>
                <w:bCs w:val="0"/>
                <w:kern w:val="0"/>
                <w:sz w:val="24"/>
                <w:szCs w:val="24"/>
                <w:lang w:val="en-US" w:eastAsia="zh-CN" w:bidi="ar"/>
              </w:rPr>
              <w:t>第六十三条 （二）林下参，特指种植方式，人工播种后自然生长在深山密林中的人参，产品包括野山参和林下山参；</w:t>
            </w:r>
            <w:r>
              <w:rPr>
                <w:rFonts w:hint="eastAsia"/>
                <w:b w:val="0"/>
                <w:bCs w:val="0"/>
                <w:color w:val="0000FF"/>
                <w:lang w:val="en-US" w:eastAsia="zh-CN"/>
              </w:rPr>
              <w:t>（</w:t>
            </w:r>
            <w:r>
              <w:rPr>
                <w:rFonts w:hint="eastAsia"/>
                <w:b w:val="0"/>
                <w:bCs w:val="0"/>
                <w:color w:val="0000FF"/>
                <w:lang w:eastAsia="zh-CN"/>
              </w:rPr>
              <w:t>泛指在林下播种、移栽的人参。包括林下园参、林下山参、野山参、移山参。林下园参，在林下，</w:t>
            </w:r>
            <w:r>
              <w:rPr>
                <w:rFonts w:hint="eastAsia"/>
                <w:b w:val="0"/>
                <w:bCs w:val="0"/>
                <w:color w:val="0000FF"/>
                <w:lang w:val="en-US" w:eastAsia="zh-CN"/>
              </w:rPr>
              <w:t>人工栽培的人参。）</w:t>
            </w:r>
          </w:p>
        </w:tc>
        <w:tc>
          <w:tcPr>
            <w:tcW w:w="1416" w:type="dxa"/>
            <w:vAlign w:val="center"/>
          </w:tcPr>
          <w:p w14:paraId="33FD9A9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未采纳</w:t>
            </w:r>
          </w:p>
        </w:tc>
        <w:tc>
          <w:tcPr>
            <w:tcW w:w="1814" w:type="dxa"/>
            <w:vAlign w:val="center"/>
          </w:tcPr>
          <w:p w14:paraId="27F0A75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相关部门正在界定，尚未明确</w:t>
            </w:r>
          </w:p>
        </w:tc>
      </w:tr>
      <w:tr w14:paraId="62E8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0E22482E">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jc w:val="center"/>
              <w:textAlignment w:val="auto"/>
              <w:rPr>
                <w:rFonts w:hint="eastAsia" w:ascii="宋体" w:hAnsi="宋体" w:eastAsia="宋体" w:cs="宋体"/>
                <w:b w:val="0"/>
                <w:bCs w:val="0"/>
                <w:sz w:val="24"/>
                <w:szCs w:val="24"/>
                <w:vertAlign w:val="baseline"/>
                <w:lang w:val="en-US" w:eastAsia="zh-CN"/>
              </w:rPr>
            </w:pPr>
          </w:p>
        </w:tc>
        <w:tc>
          <w:tcPr>
            <w:tcW w:w="1321" w:type="dxa"/>
            <w:vMerge w:val="restart"/>
            <w:vAlign w:val="center"/>
          </w:tcPr>
          <w:p w14:paraId="06432507">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赵然</w:t>
            </w:r>
          </w:p>
        </w:tc>
        <w:tc>
          <w:tcPr>
            <w:tcW w:w="737" w:type="dxa"/>
            <w:vAlign w:val="center"/>
          </w:tcPr>
          <w:p w14:paraId="43626DE2">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7994" w:type="dxa"/>
            <w:vAlign w:val="center"/>
          </w:tcPr>
          <w:p w14:paraId="3CF85C7C">
            <w:pPr>
              <w:keepNext w:val="0"/>
              <w:keepLines w:val="0"/>
              <w:widowControl/>
              <w:suppressLineNumbers w:val="0"/>
              <w:jc w:val="left"/>
              <w:rPr>
                <w:rFonts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建议将“第十二条  省人民政府农业农村主管部门会同市场监管部门等相关部门制定人参标准化种植规程。人参种植应当遵守相关法律法规以及人参标准化种植规程。”修改为“第十二条  省人民政府农业农村主管部门会同市场监管部门等相关部门制定人参绿色种植、产品检验方法、品质等级规格、林下参生境保护及人工扩育等相关标准。人参种植应当遵守相关法律法规，大力推行人参标准化种植和全程质量控制技术。种植的人参应符合食品安全国家标准 ”</w:t>
            </w:r>
          </w:p>
        </w:tc>
        <w:tc>
          <w:tcPr>
            <w:tcW w:w="1416" w:type="dxa"/>
            <w:vAlign w:val="center"/>
          </w:tcPr>
          <w:p w14:paraId="096E5B4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未采纳</w:t>
            </w:r>
          </w:p>
        </w:tc>
        <w:tc>
          <w:tcPr>
            <w:tcW w:w="1814" w:type="dxa"/>
            <w:vAlign w:val="center"/>
          </w:tcPr>
          <w:p w14:paraId="5642F7B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细分内容与条例后文重复</w:t>
            </w:r>
          </w:p>
        </w:tc>
      </w:tr>
      <w:tr w14:paraId="42085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065BF6DE">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jc w:val="center"/>
              <w:textAlignment w:val="auto"/>
              <w:rPr>
                <w:rFonts w:hint="eastAsia" w:ascii="宋体" w:hAnsi="宋体" w:eastAsia="宋体" w:cs="宋体"/>
                <w:b w:val="0"/>
                <w:bCs w:val="0"/>
                <w:sz w:val="24"/>
                <w:szCs w:val="24"/>
                <w:vertAlign w:val="baseline"/>
                <w:lang w:val="en-US" w:eastAsia="zh-CN"/>
              </w:rPr>
            </w:pPr>
          </w:p>
        </w:tc>
        <w:tc>
          <w:tcPr>
            <w:tcW w:w="1321" w:type="dxa"/>
            <w:vMerge w:val="continue"/>
            <w:vAlign w:val="center"/>
          </w:tcPr>
          <w:p w14:paraId="1ABE0AA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p>
        </w:tc>
        <w:tc>
          <w:tcPr>
            <w:tcW w:w="737" w:type="dxa"/>
            <w:vAlign w:val="center"/>
          </w:tcPr>
          <w:p w14:paraId="3EBFDD4B">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7994" w:type="dxa"/>
            <w:vAlign w:val="center"/>
          </w:tcPr>
          <w:p w14:paraId="2DC4F2DA">
            <w:pPr>
              <w:keepNext w:val="0"/>
              <w:keepLines w:val="0"/>
              <w:widowControl/>
              <w:suppressLineNumbers w:val="0"/>
              <w:jc w:val="left"/>
              <w:rPr>
                <w:rFonts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建议将“第二十条  省人民政府市场监管、卫健等主管部门应当组织制修订人参及其产品质量安全地方标准。”修改为“第二十条  省人民政府市场监管部门应当组织制修订人参及其制品地方标准，省人民政府市场监管卫健部门应当组织制修订人参质量安全地方标准。”</w:t>
            </w:r>
          </w:p>
        </w:tc>
        <w:tc>
          <w:tcPr>
            <w:tcW w:w="1416" w:type="dxa"/>
            <w:vAlign w:val="center"/>
          </w:tcPr>
          <w:p w14:paraId="00992CF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采纳</w:t>
            </w:r>
          </w:p>
        </w:tc>
        <w:tc>
          <w:tcPr>
            <w:tcW w:w="1814" w:type="dxa"/>
            <w:vAlign w:val="center"/>
          </w:tcPr>
          <w:p w14:paraId="09D5755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val="en-US" w:eastAsia="zh-CN"/>
              </w:rPr>
            </w:pPr>
          </w:p>
        </w:tc>
      </w:tr>
      <w:tr w14:paraId="2759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4812949B">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jc w:val="center"/>
              <w:textAlignment w:val="auto"/>
              <w:rPr>
                <w:rFonts w:hint="eastAsia" w:ascii="宋体" w:hAnsi="宋体" w:eastAsia="宋体" w:cs="宋体"/>
                <w:b w:val="0"/>
                <w:bCs w:val="0"/>
                <w:sz w:val="24"/>
                <w:szCs w:val="24"/>
                <w:vertAlign w:val="baseline"/>
                <w:lang w:val="en-US" w:eastAsia="zh-CN"/>
              </w:rPr>
            </w:pPr>
          </w:p>
        </w:tc>
        <w:tc>
          <w:tcPr>
            <w:tcW w:w="1321" w:type="dxa"/>
            <w:vMerge w:val="continue"/>
            <w:vAlign w:val="center"/>
          </w:tcPr>
          <w:p w14:paraId="48EB69A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p>
        </w:tc>
        <w:tc>
          <w:tcPr>
            <w:tcW w:w="737" w:type="dxa"/>
            <w:vAlign w:val="center"/>
          </w:tcPr>
          <w:p w14:paraId="2C77BD9F">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7994" w:type="dxa"/>
            <w:vAlign w:val="center"/>
          </w:tcPr>
          <w:p w14:paraId="6E93925A">
            <w:pPr>
              <w:keepNext w:val="0"/>
              <w:keepLines w:val="0"/>
              <w:widowControl/>
              <w:suppressLineNumbers w:val="0"/>
              <w:jc w:val="left"/>
              <w:rPr>
                <w:rFonts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建议将第二十四条中“人参产品质量档案应当包括下列内容中增加一条：承诺达标合格证。”</w:t>
            </w:r>
          </w:p>
        </w:tc>
        <w:tc>
          <w:tcPr>
            <w:tcW w:w="1416" w:type="dxa"/>
            <w:vAlign w:val="center"/>
          </w:tcPr>
          <w:p w14:paraId="2D470C5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未采纳</w:t>
            </w:r>
          </w:p>
        </w:tc>
        <w:tc>
          <w:tcPr>
            <w:tcW w:w="1814" w:type="dxa"/>
            <w:vAlign w:val="center"/>
          </w:tcPr>
          <w:p w14:paraId="70D5E00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目前未广泛推行承诺达标合格证</w:t>
            </w:r>
          </w:p>
        </w:tc>
      </w:tr>
      <w:tr w14:paraId="7FC93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7B7EAD0F">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jc w:val="center"/>
              <w:textAlignment w:val="auto"/>
              <w:rPr>
                <w:rFonts w:hint="eastAsia" w:ascii="宋体" w:hAnsi="宋体" w:eastAsia="宋体" w:cs="宋体"/>
                <w:b w:val="0"/>
                <w:bCs w:val="0"/>
                <w:sz w:val="24"/>
                <w:szCs w:val="24"/>
                <w:vertAlign w:val="baseline"/>
                <w:lang w:val="en-US" w:eastAsia="zh-CN"/>
              </w:rPr>
            </w:pPr>
          </w:p>
        </w:tc>
        <w:tc>
          <w:tcPr>
            <w:tcW w:w="1321" w:type="dxa"/>
            <w:vMerge w:val="continue"/>
            <w:vAlign w:val="center"/>
          </w:tcPr>
          <w:p w14:paraId="2B9D0B8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p>
        </w:tc>
        <w:tc>
          <w:tcPr>
            <w:tcW w:w="737" w:type="dxa"/>
            <w:vAlign w:val="center"/>
          </w:tcPr>
          <w:p w14:paraId="1277EC76">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p>
        </w:tc>
        <w:tc>
          <w:tcPr>
            <w:tcW w:w="7994" w:type="dxa"/>
            <w:vAlign w:val="center"/>
          </w:tcPr>
          <w:p w14:paraId="1D1E5189">
            <w:pPr>
              <w:keepNext w:val="0"/>
              <w:keepLines w:val="0"/>
              <w:widowControl/>
              <w:suppressLineNumbers w:val="0"/>
              <w:jc w:val="left"/>
              <w:rPr>
                <w:rFonts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建议增加追溯和信用体系建设内容。</w:t>
            </w:r>
          </w:p>
        </w:tc>
        <w:tc>
          <w:tcPr>
            <w:tcW w:w="1416" w:type="dxa"/>
            <w:vAlign w:val="center"/>
          </w:tcPr>
          <w:p w14:paraId="78DAAFA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未采纳</w:t>
            </w:r>
          </w:p>
        </w:tc>
        <w:tc>
          <w:tcPr>
            <w:tcW w:w="1814" w:type="dxa"/>
            <w:vAlign w:val="center"/>
          </w:tcPr>
          <w:p w14:paraId="1506052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内容不明确</w:t>
            </w:r>
          </w:p>
        </w:tc>
      </w:tr>
      <w:tr w14:paraId="29146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51151199">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jc w:val="center"/>
              <w:textAlignment w:val="auto"/>
              <w:rPr>
                <w:rFonts w:hint="eastAsia" w:ascii="宋体" w:hAnsi="宋体" w:eastAsia="宋体" w:cs="宋体"/>
                <w:b w:val="0"/>
                <w:bCs w:val="0"/>
                <w:sz w:val="24"/>
                <w:szCs w:val="24"/>
                <w:vertAlign w:val="baseline"/>
                <w:lang w:val="en-US" w:eastAsia="zh-CN"/>
              </w:rPr>
            </w:pPr>
          </w:p>
        </w:tc>
        <w:tc>
          <w:tcPr>
            <w:tcW w:w="1321" w:type="dxa"/>
            <w:vMerge w:val="continue"/>
            <w:vAlign w:val="center"/>
          </w:tcPr>
          <w:p w14:paraId="200BDBB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p>
        </w:tc>
        <w:tc>
          <w:tcPr>
            <w:tcW w:w="737" w:type="dxa"/>
            <w:vAlign w:val="center"/>
          </w:tcPr>
          <w:p w14:paraId="59EA3202">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7994" w:type="dxa"/>
            <w:vAlign w:val="center"/>
          </w:tcPr>
          <w:p w14:paraId="55E90785">
            <w:pPr>
              <w:keepNext w:val="0"/>
              <w:keepLines w:val="0"/>
              <w:widowControl/>
              <w:suppressLineNumbers w:val="0"/>
              <w:jc w:val="left"/>
              <w:rPr>
                <w:rFonts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如有可能，建议将所有标准制定全部归纳到质量管理一章中。</w:t>
            </w:r>
          </w:p>
        </w:tc>
        <w:tc>
          <w:tcPr>
            <w:tcW w:w="1416" w:type="dxa"/>
            <w:vAlign w:val="center"/>
          </w:tcPr>
          <w:p w14:paraId="3F9245E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未采纳</w:t>
            </w:r>
          </w:p>
        </w:tc>
        <w:tc>
          <w:tcPr>
            <w:tcW w:w="1814" w:type="dxa"/>
            <w:vAlign w:val="center"/>
          </w:tcPr>
          <w:p w14:paraId="14CA442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内容不明确</w:t>
            </w:r>
          </w:p>
        </w:tc>
      </w:tr>
      <w:tr w14:paraId="0688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00923C1A">
            <w:pPr>
              <w:keepNext w:val="0"/>
              <w:keepLines w:val="0"/>
              <w:pageBreakBefore w:val="0"/>
              <w:numPr>
                <w:ilvl w:val="0"/>
                <w:numId w:val="1"/>
              </w:numPr>
              <w:kinsoku/>
              <w:wordWrap/>
              <w:overflowPunct/>
              <w:topLinePunct w:val="0"/>
              <w:autoSpaceDE/>
              <w:autoSpaceDN/>
              <w:bidi w:val="0"/>
              <w:adjustRightInd/>
              <w:snapToGrid/>
              <w:spacing w:line="560" w:lineRule="exact"/>
              <w:ind w:left="425" w:leftChars="0" w:hanging="425" w:firstLineChars="0"/>
              <w:jc w:val="center"/>
              <w:textAlignment w:val="auto"/>
              <w:rPr>
                <w:rFonts w:hint="eastAsia" w:ascii="宋体" w:hAnsi="宋体" w:eastAsia="宋体" w:cs="宋体"/>
                <w:b w:val="0"/>
                <w:bCs w:val="0"/>
                <w:sz w:val="24"/>
                <w:szCs w:val="24"/>
                <w:vertAlign w:val="baseline"/>
                <w:lang w:val="en-US" w:eastAsia="zh-CN"/>
              </w:rPr>
            </w:pPr>
          </w:p>
        </w:tc>
        <w:tc>
          <w:tcPr>
            <w:tcW w:w="1321" w:type="dxa"/>
            <w:vMerge w:val="continue"/>
            <w:vAlign w:val="center"/>
          </w:tcPr>
          <w:p w14:paraId="14394F1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p>
        </w:tc>
        <w:tc>
          <w:tcPr>
            <w:tcW w:w="737" w:type="dxa"/>
            <w:vAlign w:val="center"/>
          </w:tcPr>
          <w:p w14:paraId="632ADF0F">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w:t>
            </w:r>
          </w:p>
        </w:tc>
        <w:tc>
          <w:tcPr>
            <w:tcW w:w="7994" w:type="dxa"/>
            <w:vAlign w:val="center"/>
          </w:tcPr>
          <w:p w14:paraId="4B73BC96">
            <w:pPr>
              <w:keepNext w:val="0"/>
              <w:keepLines w:val="0"/>
              <w:widowControl/>
              <w:suppressLineNumbers w:val="0"/>
              <w:jc w:val="left"/>
              <w:rPr>
                <w:rFonts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建议增加“建立人参产地环境监测制度和人参产品质量安全监测制度。”内容。</w:t>
            </w:r>
          </w:p>
        </w:tc>
        <w:tc>
          <w:tcPr>
            <w:tcW w:w="1416" w:type="dxa"/>
            <w:vAlign w:val="center"/>
          </w:tcPr>
          <w:p w14:paraId="197E3C3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未采纳</w:t>
            </w:r>
          </w:p>
        </w:tc>
        <w:tc>
          <w:tcPr>
            <w:tcW w:w="1814" w:type="dxa"/>
            <w:vAlign w:val="center"/>
          </w:tcPr>
          <w:p w14:paraId="7540212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内容不明确</w:t>
            </w:r>
          </w:p>
        </w:tc>
      </w:tr>
    </w:tbl>
    <w:p w14:paraId="7B97726E">
      <w:pPr>
        <w:rPr>
          <w:rFonts w:hint="eastAsia" w:eastAsiaTheme="minorEastAsia"/>
          <w:lang w:val="en-US"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526A35"/>
    <w:multiLevelType w:val="singleLevel"/>
    <w:tmpl w:val="44526A35"/>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2A7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2025-01-03T03:23:05Z</dcterms:created>
  <dc:creator>Administrator</dc:creator>
  <cp:lastModifiedBy>天天</cp:lastModifiedBy>
  <dcterms:modified xsi:type="dcterms:W3CDTF">2025-01-03T03:23:23Z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eyJoZGlkIjoiYWVmYThiZjk0MDA1ODlkZDNhMWUzMjY3YjcwYWUxMWEiLCJ1c2VySWQiOiI4MTkxNjY2OTIifQ==</vt:lpwstr>
  </property>
  <property fmtid="{D5CDD505-2E9C-101B-9397-08002B2CF9AE}" pid="4" name="ICV">
    <vt:lpwstr>1BED0D71D3CC4760B9C3A3B4E24CEB25_12</vt:lpwstr>
  </property>
</Properties>
</file>