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10CDF">
      <w:pPr>
        <w:keepNext w:val="0"/>
        <w:keepLines w:val="0"/>
        <w:pageBreakBefore w:val="0"/>
        <w:widowControl/>
        <w:kinsoku/>
        <w:wordWrap/>
        <w:topLinePunct w:val="0"/>
        <w:autoSpaceDE/>
        <w:autoSpaceDN/>
        <w:bidi w:val="0"/>
        <w:adjustRightInd/>
        <w:snapToGrid/>
        <w:spacing w:line="560" w:lineRule="exact"/>
        <w:jc w:val="both"/>
        <w:rPr>
          <w:rFonts w:hint="default" w:ascii="Times New Roman" w:hAnsi="Times New Roman" w:eastAsia="方正小标宋简体" w:cs="Times New Roman"/>
          <w:b w:val="0"/>
          <w:bCs w:val="0"/>
          <w:color w:val="auto"/>
          <w:kern w:val="0"/>
          <w:sz w:val="44"/>
          <w:szCs w:val="44"/>
        </w:rPr>
      </w:pPr>
      <w:bookmarkStart w:id="2" w:name="_GoBack"/>
      <w:bookmarkEnd w:id="2"/>
      <w:bookmarkStart w:id="0" w:name="OLE_LINK1"/>
    </w:p>
    <w:p w14:paraId="417EBD1A">
      <w:pPr>
        <w:keepNext w:val="0"/>
        <w:keepLines w:val="0"/>
        <w:pageBreakBefore w:val="0"/>
        <w:widowControl/>
        <w:kinsoku/>
        <w:wordWrap/>
        <w:topLinePunct w:val="0"/>
        <w:autoSpaceDE/>
        <w:autoSpaceDN/>
        <w:bidi w:val="0"/>
        <w:adjustRightInd/>
        <w:snapToGrid/>
        <w:spacing w:line="560" w:lineRule="exact"/>
        <w:jc w:val="center"/>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吉林省高标准农田建设项目招标投标</w:t>
      </w:r>
    </w:p>
    <w:p w14:paraId="7D7882FD">
      <w:pPr>
        <w:keepNext w:val="0"/>
        <w:keepLines w:val="0"/>
        <w:pageBreakBefore w:val="0"/>
        <w:widowControl/>
        <w:kinsoku/>
        <w:wordWrap/>
        <w:topLinePunct w:val="0"/>
        <w:autoSpaceDE/>
        <w:autoSpaceDN/>
        <w:bidi w:val="0"/>
        <w:adjustRightInd/>
        <w:snapToGrid/>
        <w:spacing w:line="560" w:lineRule="exact"/>
        <w:jc w:val="center"/>
        <w:rPr>
          <w:rFonts w:hint="default" w:ascii="Times New Roman" w:hAnsi="Times New Roman" w:eastAsia="华文宋体" w:cs="Times New Roman"/>
          <w:b w:val="0"/>
          <w:bCs w:val="0"/>
          <w:color w:val="auto"/>
          <w:kern w:val="0"/>
          <w:sz w:val="36"/>
          <w:szCs w:val="36"/>
        </w:rPr>
      </w:pPr>
      <w:r>
        <w:rPr>
          <w:rFonts w:hint="default" w:ascii="Times New Roman" w:hAnsi="Times New Roman" w:eastAsia="方正小标宋简体" w:cs="Times New Roman"/>
          <w:b w:val="0"/>
          <w:bCs w:val="0"/>
          <w:color w:val="auto"/>
          <w:kern w:val="0"/>
          <w:sz w:val="44"/>
          <w:szCs w:val="44"/>
        </w:rPr>
        <w:t>管理办法（试行）</w:t>
      </w:r>
    </w:p>
    <w:p w14:paraId="2C56FD74">
      <w:pPr>
        <w:keepNext w:val="0"/>
        <w:keepLines w:val="0"/>
        <w:pageBreakBefore w:val="0"/>
        <w:widowControl/>
        <w:kinsoku/>
        <w:wordWrap/>
        <w:topLinePunct w:val="0"/>
        <w:autoSpaceDE/>
        <w:autoSpaceDN/>
        <w:bidi w:val="0"/>
        <w:adjustRightInd/>
        <w:snapToGrid/>
        <w:spacing w:line="560" w:lineRule="exact"/>
        <w:jc w:val="center"/>
        <w:rPr>
          <w:rFonts w:hint="default" w:ascii="Times New Roman" w:hAnsi="Times New Roman" w:eastAsia="华文宋体" w:cs="Times New Roman"/>
          <w:b w:val="0"/>
          <w:bCs w:val="0"/>
          <w:color w:val="auto"/>
          <w:kern w:val="0"/>
          <w:sz w:val="36"/>
          <w:szCs w:val="36"/>
        </w:rPr>
      </w:pPr>
      <w:r>
        <w:rPr>
          <w:rFonts w:hint="default" w:ascii="Times New Roman" w:hAnsi="Times New Roman" w:eastAsia="华文宋体" w:cs="Times New Roman"/>
          <w:b w:val="0"/>
          <w:bCs w:val="0"/>
          <w:color w:val="auto"/>
          <w:kern w:val="0"/>
          <w:sz w:val="32"/>
          <w:szCs w:val="32"/>
        </w:rPr>
        <w:t>（2025年）</w:t>
      </w:r>
    </w:p>
    <w:bookmarkEnd w:id="0"/>
    <w:p w14:paraId="309F3BA9">
      <w:pPr>
        <w:keepNext w:val="0"/>
        <w:keepLines w:val="0"/>
        <w:pageBreakBefore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36"/>
          <w:szCs w:val="36"/>
        </w:rPr>
      </w:pPr>
    </w:p>
    <w:p w14:paraId="1E3EB0A5">
      <w:pPr>
        <w:keepNext w:val="0"/>
        <w:keepLines w:val="0"/>
        <w:pageBreakBefore w:val="0"/>
        <w:widowControl/>
        <w:kinsoku/>
        <w:wordWrap/>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第一章  总  则</w:t>
      </w:r>
    </w:p>
    <w:p w14:paraId="144652B0">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kern w:val="0"/>
          <w:sz w:val="32"/>
          <w:szCs w:val="32"/>
        </w:rPr>
      </w:pPr>
    </w:p>
    <w:p w14:paraId="46C7999D">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第一条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目的和</w:t>
      </w:r>
      <w:bookmarkStart w:id="1" w:name="_Hlt329866870"/>
      <w:r>
        <w:rPr>
          <w:rFonts w:hint="default" w:ascii="Times New Roman" w:hAnsi="Times New Roman" w:eastAsia="黑体" w:cs="Times New Roman"/>
          <w:b w:val="0"/>
          <w:bCs w:val="0"/>
          <w:color w:val="auto"/>
          <w:kern w:val="0"/>
          <w:sz w:val="32"/>
          <w:szCs w:val="32"/>
          <w:lang w:val="en-US" w:eastAsia="zh-CN"/>
        </w:rPr>
        <w:t>依</w:t>
      </w:r>
      <w:bookmarkEnd w:id="1"/>
      <w:r>
        <w:rPr>
          <w:rFonts w:hint="default" w:ascii="Times New Roman" w:hAnsi="Times New Roman" w:eastAsia="黑体" w:cs="Times New Roman"/>
          <w:b w:val="0"/>
          <w:bCs w:val="0"/>
          <w:color w:val="auto"/>
          <w:kern w:val="0"/>
          <w:sz w:val="32"/>
          <w:szCs w:val="32"/>
          <w:lang w:val="en-US" w:eastAsia="zh-CN"/>
        </w:rPr>
        <w:t>据</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rPr>
        <w:t>为</w:t>
      </w:r>
      <w:r>
        <w:rPr>
          <w:rFonts w:hint="default" w:ascii="Times New Roman" w:hAnsi="Times New Roman" w:eastAsia="仿宋_GB2312" w:cs="Times New Roman"/>
          <w:b w:val="0"/>
          <w:bCs w:val="0"/>
          <w:color w:val="auto"/>
          <w:sz w:val="32"/>
          <w:szCs w:val="40"/>
          <w:lang w:val="en-US" w:eastAsia="zh-CN"/>
        </w:rPr>
        <w:t>进一步</w:t>
      </w:r>
      <w:r>
        <w:rPr>
          <w:rFonts w:hint="default" w:ascii="Times New Roman" w:hAnsi="Times New Roman" w:eastAsia="仿宋_GB2312" w:cs="Times New Roman"/>
          <w:b w:val="0"/>
          <w:bCs w:val="0"/>
          <w:color w:val="auto"/>
          <w:sz w:val="32"/>
          <w:szCs w:val="40"/>
        </w:rPr>
        <w:t>规范吉林省高标准农田建设项目招标投标活动，提高财政资金使用效益，防控廉政风险，根据《中华人民共和国招标投标法》《中华人民共和国招标投标法实施条例》《国务院办公厅关于创新完善体制机制推动招标投标市场规范健康发展的意见》（国办发〔2024〕21号）</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国家发展改革委等部门关于严格执行招标投标法规制度进一步规范招标投标主体行为的若干意见</w:t>
      </w:r>
      <w:r>
        <w:rPr>
          <w:rFonts w:hint="default" w:ascii="Times New Roman" w:hAnsi="Times New Roman" w:eastAsia="仿宋_GB2312" w:cs="Times New Roman"/>
          <w:b w:val="0"/>
          <w:bCs w:val="0"/>
          <w:color w:val="auto"/>
          <w:sz w:val="32"/>
          <w:szCs w:val="40"/>
          <w:lang w:eastAsia="zh-CN"/>
        </w:rPr>
        <w:t>》（发改法规规〔2022〕1117号）</w:t>
      </w:r>
      <w:r>
        <w:rPr>
          <w:rFonts w:hint="default" w:ascii="Times New Roman" w:hAnsi="Times New Roman" w:eastAsia="仿宋_GB2312" w:cs="Times New Roman"/>
          <w:b w:val="0"/>
          <w:bCs w:val="0"/>
          <w:color w:val="auto"/>
          <w:sz w:val="32"/>
          <w:szCs w:val="40"/>
        </w:rPr>
        <w:t>《必须招标的工程项目规定》（国家发改委第16号令）《全面推行招标投标“双盲”评审实施方案》（吉政数联〔2025〕2号）等，结合</w:t>
      </w:r>
      <w:r>
        <w:rPr>
          <w:rFonts w:hint="default" w:ascii="Times New Roman" w:hAnsi="Times New Roman" w:eastAsia="仿宋_GB2312" w:cs="Times New Roman"/>
          <w:b w:val="0"/>
          <w:bCs w:val="0"/>
          <w:color w:val="auto"/>
          <w:sz w:val="32"/>
          <w:szCs w:val="40"/>
          <w:lang w:eastAsia="zh-CN"/>
        </w:rPr>
        <w:t>本省</w:t>
      </w:r>
      <w:r>
        <w:rPr>
          <w:rFonts w:hint="default" w:ascii="Times New Roman" w:hAnsi="Times New Roman" w:eastAsia="仿宋_GB2312" w:cs="Times New Roman"/>
          <w:b w:val="0"/>
          <w:bCs w:val="0"/>
          <w:color w:val="auto"/>
          <w:sz w:val="32"/>
          <w:szCs w:val="40"/>
        </w:rPr>
        <w:t>高标准农田建设</w:t>
      </w:r>
      <w:r>
        <w:rPr>
          <w:rFonts w:hint="default" w:ascii="Times New Roman" w:hAnsi="Times New Roman" w:eastAsia="仿宋_GB2312" w:cs="Times New Roman"/>
          <w:b w:val="0"/>
          <w:bCs w:val="0"/>
          <w:color w:val="auto"/>
          <w:sz w:val="32"/>
          <w:szCs w:val="40"/>
          <w:lang w:val="en-US" w:eastAsia="zh-CN"/>
        </w:rPr>
        <w:t>项目</w:t>
      </w:r>
      <w:r>
        <w:rPr>
          <w:rFonts w:hint="default" w:ascii="Times New Roman" w:hAnsi="Times New Roman" w:eastAsia="仿宋_GB2312" w:cs="Times New Roman"/>
          <w:b w:val="0"/>
          <w:bCs w:val="0"/>
          <w:color w:val="auto"/>
          <w:sz w:val="32"/>
          <w:szCs w:val="40"/>
        </w:rPr>
        <w:t>特点，制定本</w:t>
      </w:r>
      <w:r>
        <w:rPr>
          <w:rFonts w:hint="default" w:ascii="Times New Roman" w:hAnsi="Times New Roman" w:eastAsia="仿宋_GB2312" w:cs="Times New Roman"/>
          <w:b w:val="0"/>
          <w:bCs w:val="0"/>
          <w:color w:val="auto"/>
          <w:sz w:val="32"/>
          <w:szCs w:val="40"/>
          <w:lang w:val="en-US" w:eastAsia="zh-CN"/>
        </w:rPr>
        <w:t>办法</w:t>
      </w:r>
      <w:r>
        <w:rPr>
          <w:rFonts w:hint="default" w:ascii="Times New Roman" w:hAnsi="Times New Roman" w:eastAsia="仿宋_GB2312" w:cs="Times New Roman"/>
          <w:b w:val="0"/>
          <w:bCs w:val="0"/>
          <w:color w:val="auto"/>
          <w:kern w:val="0"/>
          <w:sz w:val="32"/>
          <w:szCs w:val="32"/>
        </w:rPr>
        <w:t>。</w:t>
      </w:r>
    </w:p>
    <w:p w14:paraId="5DB8B0B3">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kern w:val="0"/>
          <w:sz w:val="32"/>
          <w:szCs w:val="32"/>
        </w:rPr>
        <w:t>第二条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适用范围</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rPr>
        <w:t>本省行政区域内，纳入国家和省级年度实施计划、使用国有资金且达到依法必须招标规模标准的高标准农田建设项目及配套工程，其勘察、设计、施工、监理</w:t>
      </w:r>
      <w:r>
        <w:rPr>
          <w:rFonts w:hint="default" w:ascii="Times New Roman" w:hAnsi="Times New Roman" w:eastAsia="仿宋_GB2312" w:cs="Times New Roman"/>
          <w:b w:val="0"/>
          <w:bCs w:val="0"/>
          <w:color w:val="auto"/>
          <w:sz w:val="32"/>
          <w:szCs w:val="40"/>
          <w:lang w:val="en-US" w:eastAsia="zh-CN"/>
        </w:rPr>
        <w:t>以及</w:t>
      </w:r>
      <w:r>
        <w:rPr>
          <w:rFonts w:hint="default" w:ascii="Times New Roman" w:hAnsi="Times New Roman" w:eastAsia="仿宋_GB2312" w:cs="Times New Roman"/>
          <w:b w:val="0"/>
          <w:bCs w:val="0"/>
          <w:color w:val="auto"/>
          <w:sz w:val="32"/>
          <w:szCs w:val="40"/>
        </w:rPr>
        <w:t>重要设备、材料</w:t>
      </w:r>
      <w:r>
        <w:rPr>
          <w:rFonts w:hint="default" w:ascii="Times New Roman" w:hAnsi="Times New Roman" w:eastAsia="仿宋_GB2312" w:cs="Times New Roman"/>
          <w:b w:val="0"/>
          <w:bCs w:val="0"/>
          <w:color w:val="auto"/>
          <w:sz w:val="32"/>
          <w:szCs w:val="40"/>
          <w:lang w:val="en-US" w:eastAsia="zh-CN"/>
        </w:rPr>
        <w:t>采购</w:t>
      </w:r>
      <w:r>
        <w:rPr>
          <w:rFonts w:hint="default" w:ascii="Times New Roman" w:hAnsi="Times New Roman" w:eastAsia="仿宋_GB2312" w:cs="Times New Roman"/>
          <w:b w:val="0"/>
          <w:bCs w:val="0"/>
          <w:color w:val="auto"/>
          <w:sz w:val="32"/>
          <w:szCs w:val="40"/>
        </w:rPr>
        <w:t>等招标投标活动，适用本办法</w:t>
      </w:r>
      <w:r>
        <w:rPr>
          <w:rFonts w:hint="default" w:ascii="Times New Roman" w:hAnsi="Times New Roman" w:eastAsia="仿宋_GB2312" w:cs="Times New Roman"/>
          <w:b w:val="0"/>
          <w:bCs w:val="0"/>
          <w:color w:val="auto"/>
          <w:sz w:val="32"/>
          <w:szCs w:val="40"/>
          <w:lang w:eastAsia="zh-CN"/>
        </w:rPr>
        <w:t>。</w:t>
      </w:r>
    </w:p>
    <w:p w14:paraId="6242A073">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kern w:val="0"/>
          <w:sz w:val="32"/>
          <w:szCs w:val="32"/>
          <w:shd w:val="clear" w:color="auto" w:fill="auto"/>
        </w:rPr>
        <w:t xml:space="preserve">第三条 </w:t>
      </w:r>
      <w:r>
        <w:rPr>
          <w:rFonts w:hint="default" w:ascii="Times New Roman" w:hAnsi="Times New Roman" w:eastAsia="黑体" w:cs="Times New Roman"/>
          <w:b w:val="0"/>
          <w:bCs w:val="0"/>
          <w:color w:val="auto"/>
          <w:kern w:val="0"/>
          <w:sz w:val="32"/>
          <w:szCs w:val="32"/>
          <w:shd w:val="clear" w:color="auto" w:fill="auto"/>
          <w:lang w:eastAsia="zh-CN"/>
        </w:rPr>
        <w:t>【</w:t>
      </w:r>
      <w:r>
        <w:rPr>
          <w:rFonts w:hint="default" w:ascii="Times New Roman" w:hAnsi="Times New Roman" w:eastAsia="黑体" w:cs="Times New Roman"/>
          <w:b w:val="0"/>
          <w:bCs w:val="0"/>
          <w:color w:val="auto"/>
          <w:kern w:val="0"/>
          <w:sz w:val="32"/>
          <w:szCs w:val="32"/>
          <w:shd w:val="clear" w:color="auto" w:fill="auto"/>
          <w:lang w:val="en-US" w:eastAsia="zh-CN"/>
        </w:rPr>
        <w:t>基本原则</w:t>
      </w:r>
      <w:r>
        <w:rPr>
          <w:rFonts w:hint="default" w:ascii="Times New Roman" w:hAnsi="Times New Roman" w:eastAsia="黑体" w:cs="Times New Roman"/>
          <w:b w:val="0"/>
          <w:bCs w:val="0"/>
          <w:color w:val="auto"/>
          <w:kern w:val="0"/>
          <w:sz w:val="32"/>
          <w:szCs w:val="32"/>
          <w:shd w:val="clear" w:color="auto" w:fill="auto"/>
          <w:lang w:eastAsia="zh-CN"/>
        </w:rPr>
        <w:t>】</w:t>
      </w:r>
      <w:r>
        <w:rPr>
          <w:rFonts w:hint="default" w:ascii="Times New Roman" w:hAnsi="Times New Roman" w:eastAsia="仿宋_GB2312" w:cs="Times New Roman"/>
          <w:b w:val="0"/>
          <w:bCs w:val="0"/>
          <w:color w:val="auto"/>
          <w:sz w:val="32"/>
          <w:szCs w:val="40"/>
          <w:lang w:val="en-US" w:eastAsia="zh-CN"/>
        </w:rPr>
        <w:t>高标准农田建设项目</w:t>
      </w:r>
      <w:r>
        <w:rPr>
          <w:rFonts w:hint="default" w:ascii="Times New Roman" w:hAnsi="Times New Roman" w:eastAsia="仿宋_GB2312" w:cs="Times New Roman"/>
          <w:b w:val="0"/>
          <w:bCs w:val="0"/>
          <w:color w:val="auto"/>
          <w:sz w:val="32"/>
          <w:szCs w:val="40"/>
        </w:rPr>
        <w:t>招标投标活动</w:t>
      </w:r>
      <w:r>
        <w:rPr>
          <w:rFonts w:hint="default" w:ascii="Times New Roman" w:hAnsi="Times New Roman" w:eastAsia="仿宋_GB2312" w:cs="Times New Roman"/>
          <w:b w:val="0"/>
          <w:bCs w:val="0"/>
          <w:color w:val="auto"/>
          <w:sz w:val="32"/>
          <w:szCs w:val="40"/>
          <w:lang w:eastAsia="zh-CN"/>
        </w:rPr>
        <w:t>应</w:t>
      </w:r>
      <w:r>
        <w:rPr>
          <w:rFonts w:hint="default" w:ascii="Times New Roman" w:hAnsi="Times New Roman" w:eastAsia="仿宋_GB2312" w:cs="Times New Roman"/>
          <w:b w:val="0"/>
          <w:bCs w:val="0"/>
          <w:color w:val="auto"/>
          <w:sz w:val="32"/>
          <w:szCs w:val="40"/>
          <w:lang w:val="en-US" w:eastAsia="zh-CN"/>
        </w:rPr>
        <w:t>当</w:t>
      </w:r>
      <w:r>
        <w:rPr>
          <w:rFonts w:hint="default" w:ascii="Times New Roman" w:hAnsi="Times New Roman" w:eastAsia="仿宋_GB2312" w:cs="Times New Roman"/>
          <w:b w:val="0"/>
          <w:bCs w:val="0"/>
          <w:color w:val="auto"/>
          <w:sz w:val="32"/>
          <w:szCs w:val="40"/>
        </w:rPr>
        <w:t>遵循公开、公平、公正</w:t>
      </w:r>
      <w:r>
        <w:rPr>
          <w:rFonts w:hint="default" w:ascii="Times New Roman" w:hAnsi="Times New Roman" w:eastAsia="仿宋_GB2312" w:cs="Times New Roman"/>
          <w:b w:val="0"/>
          <w:bCs w:val="0"/>
          <w:color w:val="auto"/>
          <w:sz w:val="32"/>
          <w:szCs w:val="40"/>
          <w:lang w:val="en-US" w:eastAsia="zh-CN"/>
        </w:rPr>
        <w:t>和诚实信用的</w:t>
      </w:r>
      <w:r>
        <w:rPr>
          <w:rFonts w:hint="default" w:ascii="Times New Roman" w:hAnsi="Times New Roman" w:eastAsia="仿宋_GB2312" w:cs="Times New Roman"/>
          <w:b w:val="0"/>
          <w:bCs w:val="0"/>
          <w:color w:val="auto"/>
          <w:sz w:val="32"/>
          <w:szCs w:val="40"/>
        </w:rPr>
        <w:t>原则。</w:t>
      </w:r>
    </w:p>
    <w:p w14:paraId="3238B885">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p>
    <w:p w14:paraId="2271EA94">
      <w:pPr>
        <w:keepNext w:val="0"/>
        <w:keepLines w:val="0"/>
        <w:pageBreakBefore w:val="0"/>
        <w:widowControl/>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highlight w:val="none"/>
          <w:lang w:val="en-US" w:eastAsia="zh-CN"/>
        </w:rPr>
        <w:t xml:space="preserve">第四条 </w:t>
      </w:r>
      <w:r>
        <w:rPr>
          <w:rFonts w:hint="default" w:ascii="Times New Roman" w:hAnsi="Times New Roman" w:eastAsia="黑体" w:cs="Times New Roman"/>
          <w:b w:val="0"/>
          <w:bCs w:val="0"/>
          <w:color w:val="auto"/>
          <w:kern w:val="0"/>
          <w:sz w:val="32"/>
          <w:szCs w:val="32"/>
          <w:highlight w:val="none"/>
          <w:lang w:eastAsia="zh-CN"/>
        </w:rPr>
        <w:t>【</w:t>
      </w:r>
      <w:r>
        <w:rPr>
          <w:rFonts w:hint="eastAsia" w:ascii="Times New Roman" w:hAnsi="Times New Roman" w:eastAsia="黑体" w:cs="Times New Roman"/>
          <w:b w:val="0"/>
          <w:bCs w:val="0"/>
          <w:color w:val="auto"/>
          <w:kern w:val="0"/>
          <w:sz w:val="32"/>
          <w:szCs w:val="32"/>
          <w:highlight w:val="none"/>
          <w:lang w:eastAsia="zh-CN"/>
        </w:rPr>
        <w:t>实行</w:t>
      </w:r>
      <w:r>
        <w:rPr>
          <w:rFonts w:hint="default" w:ascii="Times New Roman" w:hAnsi="Times New Roman" w:eastAsia="黑体" w:cs="Times New Roman"/>
          <w:b w:val="0"/>
          <w:bCs w:val="0"/>
          <w:color w:val="auto"/>
          <w:kern w:val="0"/>
          <w:sz w:val="32"/>
          <w:szCs w:val="32"/>
          <w:lang w:val="en-US" w:eastAsia="zh-CN"/>
        </w:rPr>
        <w:t>远程异地评标</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sz w:val="32"/>
          <w:szCs w:val="40"/>
        </w:rPr>
        <w:t>依法必须</w:t>
      </w:r>
      <w:r>
        <w:rPr>
          <w:rFonts w:hint="default" w:ascii="Times New Roman" w:hAnsi="Times New Roman" w:eastAsia="仿宋_GB2312" w:cs="Times New Roman"/>
          <w:b w:val="0"/>
          <w:bCs w:val="0"/>
          <w:color w:val="auto"/>
          <w:sz w:val="32"/>
          <w:szCs w:val="40"/>
          <w:lang w:val="en-US" w:eastAsia="zh-CN"/>
        </w:rPr>
        <w:t>进行公开</w:t>
      </w:r>
      <w:r>
        <w:rPr>
          <w:rFonts w:hint="default" w:ascii="Times New Roman" w:hAnsi="Times New Roman" w:eastAsia="仿宋_GB2312" w:cs="Times New Roman"/>
          <w:b w:val="0"/>
          <w:bCs w:val="0"/>
          <w:color w:val="auto"/>
          <w:sz w:val="32"/>
          <w:szCs w:val="40"/>
        </w:rPr>
        <w:t>招标的高标准农田建设项目</w:t>
      </w:r>
      <w:r>
        <w:rPr>
          <w:rFonts w:hint="default" w:ascii="Times New Roman" w:hAnsi="Times New Roman" w:eastAsia="仿宋_GB2312" w:cs="Times New Roman"/>
          <w:b w:val="0"/>
          <w:bCs w:val="0"/>
          <w:color w:val="auto"/>
          <w:sz w:val="32"/>
          <w:szCs w:val="40"/>
          <w:lang w:eastAsia="zh-CN"/>
        </w:rPr>
        <w:t>应</w:t>
      </w:r>
      <w:r>
        <w:rPr>
          <w:rFonts w:hint="default" w:ascii="Times New Roman" w:hAnsi="Times New Roman" w:eastAsia="仿宋_GB2312" w:cs="Times New Roman"/>
          <w:b w:val="0"/>
          <w:bCs w:val="0"/>
          <w:color w:val="auto"/>
          <w:sz w:val="32"/>
          <w:szCs w:val="40"/>
          <w:lang w:val="en-US" w:eastAsia="zh-CN"/>
        </w:rPr>
        <w:t>当</w:t>
      </w:r>
      <w:r>
        <w:rPr>
          <w:rFonts w:hint="default" w:ascii="Times New Roman" w:hAnsi="Times New Roman" w:eastAsia="仿宋_GB2312" w:cs="Times New Roman"/>
          <w:b w:val="0"/>
          <w:bCs w:val="0"/>
          <w:color w:val="auto"/>
          <w:sz w:val="32"/>
          <w:szCs w:val="40"/>
        </w:rPr>
        <w:t>进入</w:t>
      </w:r>
      <w:r>
        <w:rPr>
          <w:rFonts w:hint="default" w:ascii="Times New Roman" w:hAnsi="Times New Roman" w:eastAsia="仿宋_GB2312" w:cs="Times New Roman"/>
          <w:b w:val="0"/>
          <w:bCs w:val="0"/>
          <w:color w:val="auto"/>
          <w:sz w:val="32"/>
          <w:szCs w:val="40"/>
          <w:lang w:val="en-US" w:eastAsia="zh-CN"/>
        </w:rPr>
        <w:t>全省统一设立的各级公共资源交易中心进行交易，全面</w:t>
      </w:r>
      <w:r>
        <w:rPr>
          <w:rFonts w:hint="eastAsia" w:ascii="Times New Roman" w:hAnsi="Times New Roman" w:eastAsia="仿宋_GB2312" w:cs="Times New Roman"/>
          <w:b w:val="0"/>
          <w:bCs w:val="0"/>
          <w:color w:val="auto"/>
          <w:sz w:val="32"/>
          <w:szCs w:val="40"/>
          <w:lang w:val="en-US" w:eastAsia="zh-CN"/>
        </w:rPr>
        <w:t>实行</w:t>
      </w:r>
      <w:r>
        <w:rPr>
          <w:rFonts w:hint="default" w:ascii="Times New Roman" w:hAnsi="Times New Roman" w:eastAsia="仿宋_GB2312" w:cs="Times New Roman"/>
          <w:b w:val="0"/>
          <w:bCs w:val="0"/>
          <w:color w:val="auto"/>
          <w:sz w:val="32"/>
          <w:szCs w:val="40"/>
          <w:lang w:val="en-US" w:eastAsia="zh-CN"/>
        </w:rPr>
        <w:t>全流程电子化招标投标交易、远程异地评标</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lang w:val="en-US" w:eastAsia="zh-CN"/>
        </w:rPr>
        <w:t>项目所在地设置主场，以随机抽取方式设置至少2个副场，主场评标专家人数最多不得超过成员总数的1/3。</w:t>
      </w:r>
    </w:p>
    <w:p w14:paraId="3B7FC457">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五</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【实施“双盲”评审】</w:t>
      </w:r>
      <w:r>
        <w:rPr>
          <w:rFonts w:hint="eastAsia" w:ascii="Times New Roman" w:hAnsi="Times New Roman" w:eastAsia="仿宋_GB2312" w:cs="Times New Roman"/>
          <w:b w:val="0"/>
          <w:bCs w:val="0"/>
          <w:color w:val="auto"/>
          <w:sz w:val="32"/>
          <w:szCs w:val="40"/>
          <w:lang w:val="en-US" w:eastAsia="zh-CN"/>
        </w:rPr>
        <w:t>实行</w:t>
      </w:r>
      <w:r>
        <w:rPr>
          <w:rFonts w:hint="default" w:ascii="Times New Roman" w:hAnsi="Times New Roman" w:eastAsia="仿宋_GB2312" w:cs="Times New Roman"/>
          <w:b w:val="0"/>
          <w:bCs w:val="0"/>
          <w:color w:val="auto"/>
          <w:sz w:val="32"/>
          <w:szCs w:val="40"/>
        </w:rPr>
        <w:t>高标准农田建设项目</w:t>
      </w:r>
      <w:r>
        <w:rPr>
          <w:rFonts w:hint="default" w:ascii="Times New Roman" w:hAnsi="Times New Roman" w:eastAsia="仿宋_GB2312" w:cs="Times New Roman"/>
          <w:b w:val="0"/>
          <w:bCs w:val="0"/>
          <w:color w:val="auto"/>
          <w:sz w:val="32"/>
          <w:szCs w:val="40"/>
          <w:lang w:val="en-US" w:eastAsia="zh-CN"/>
        </w:rPr>
        <w:t>实施评标专家“盲抽”，投标文件的技术标部分隐藏投标人信息，在评标专家不知晓投标人信息的情况下进行“盲评”。</w:t>
      </w:r>
    </w:p>
    <w:p w14:paraId="1CE7BE5C">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六</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【行政监管职责】</w:t>
      </w:r>
      <w:r>
        <w:rPr>
          <w:rFonts w:hint="default" w:ascii="Times New Roman" w:hAnsi="Times New Roman" w:eastAsia="仿宋_GB2312" w:cs="Times New Roman"/>
          <w:b w:val="0"/>
          <w:bCs w:val="0"/>
          <w:color w:val="auto"/>
          <w:sz w:val="32"/>
          <w:szCs w:val="40"/>
        </w:rPr>
        <w:t>高标准农田建设项目招标投标工作实行统一领导、分级管理。</w:t>
      </w:r>
    </w:p>
    <w:p w14:paraId="7AA3E780">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eastAsia="zh-CN"/>
        </w:rPr>
      </w:pPr>
      <w:r>
        <w:rPr>
          <w:rFonts w:hint="default" w:ascii="Times New Roman" w:hAnsi="Times New Roman" w:eastAsia="仿宋_GB2312" w:cs="Times New Roman"/>
          <w:b w:val="0"/>
          <w:bCs w:val="0"/>
          <w:color w:val="auto"/>
          <w:sz w:val="32"/>
          <w:szCs w:val="40"/>
        </w:rPr>
        <w:t>县</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市、区</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农业农村部门负责</w:t>
      </w:r>
      <w:r>
        <w:rPr>
          <w:rFonts w:hint="default" w:ascii="Times New Roman" w:hAnsi="Times New Roman" w:eastAsia="仿宋_GB2312" w:cs="Times New Roman"/>
          <w:b w:val="0"/>
          <w:bCs w:val="0"/>
          <w:color w:val="auto"/>
          <w:sz w:val="32"/>
          <w:szCs w:val="40"/>
          <w:lang w:val="en-US" w:eastAsia="zh-CN"/>
        </w:rPr>
        <w:t>实施</w:t>
      </w:r>
      <w:r>
        <w:rPr>
          <w:rFonts w:hint="default" w:ascii="Times New Roman" w:hAnsi="Times New Roman" w:eastAsia="仿宋_GB2312" w:cs="Times New Roman"/>
          <w:b w:val="0"/>
          <w:bCs w:val="0"/>
          <w:color w:val="auto"/>
          <w:sz w:val="32"/>
          <w:szCs w:val="40"/>
        </w:rPr>
        <w:t>本行政区域内高标准农田建设项目招标投标活动</w:t>
      </w:r>
      <w:r>
        <w:rPr>
          <w:rFonts w:hint="default" w:ascii="Times New Roman" w:hAnsi="Times New Roman" w:eastAsia="仿宋_GB2312" w:cs="Times New Roman"/>
          <w:b w:val="0"/>
          <w:bCs w:val="0"/>
          <w:color w:val="auto"/>
          <w:sz w:val="32"/>
          <w:szCs w:val="40"/>
          <w:lang w:eastAsia="zh-CN"/>
        </w:rPr>
        <w:t>。</w:t>
      </w:r>
    </w:p>
    <w:p w14:paraId="5B5749BC">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市</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州</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农业农村部门负责指导并监督本行政区域内的高标准农田建设项目招标投标活动。</w:t>
      </w:r>
    </w:p>
    <w:p w14:paraId="23D98233">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rPr>
        <w:t>省农业农村厅负责指导全省高标准农田建设项目招标投标活动</w:t>
      </w:r>
      <w:r>
        <w:rPr>
          <w:rFonts w:hint="default" w:ascii="Times New Roman" w:hAnsi="Times New Roman" w:eastAsia="仿宋_GB2312" w:cs="Times New Roman"/>
          <w:b w:val="0"/>
          <w:bCs w:val="0"/>
          <w:color w:val="auto"/>
          <w:sz w:val="32"/>
          <w:szCs w:val="40"/>
          <w:lang w:eastAsia="zh-CN"/>
        </w:rPr>
        <w:t>。</w:t>
      </w:r>
    </w:p>
    <w:p w14:paraId="7F094CD5">
      <w:pPr>
        <w:keepNext w:val="0"/>
        <w:keepLines w:val="0"/>
        <w:pageBreakBefore w:val="0"/>
        <w:numPr>
          <w:ilvl w:val="0"/>
          <w:numId w:val="0"/>
        </w:numPr>
        <w:kinsoku/>
        <w:wordWrap/>
        <w:overflowPunct w:val="0"/>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b w:val="0"/>
          <w:bCs w:val="0"/>
          <w:color w:val="auto"/>
          <w:sz w:val="32"/>
          <w:szCs w:val="32"/>
          <w:lang w:val="en-US" w:eastAsia="zh-CN"/>
        </w:rPr>
      </w:pPr>
    </w:p>
    <w:p w14:paraId="67C03DFC">
      <w:pPr>
        <w:keepNext w:val="0"/>
        <w:keepLines w:val="0"/>
        <w:pageBreakBefore w:val="0"/>
        <w:widowControl/>
        <w:kinsoku/>
        <w:wordWrap/>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第二章  主体责任</w:t>
      </w:r>
    </w:p>
    <w:p w14:paraId="55D013C5">
      <w:pPr>
        <w:keepNext w:val="0"/>
        <w:keepLines w:val="0"/>
        <w:pageBreakBefore w:val="0"/>
        <w:widowControl/>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p>
    <w:p w14:paraId="2726FF9A">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highlight w:val="none"/>
          <w:lang w:val="en-US" w:eastAsia="zh-CN"/>
        </w:rPr>
        <w:t xml:space="preserve">第七条 </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黑体" w:cs="Times New Roman"/>
          <w:b w:val="0"/>
          <w:bCs w:val="0"/>
          <w:color w:val="auto"/>
          <w:kern w:val="0"/>
          <w:sz w:val="32"/>
          <w:szCs w:val="32"/>
          <w:highlight w:val="none"/>
          <w:lang w:val="en-US" w:eastAsia="zh-CN"/>
        </w:rPr>
        <w:t>强化招标人主体责任</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sz w:val="32"/>
          <w:szCs w:val="40"/>
          <w:lang w:val="en-US" w:eastAsia="zh-CN"/>
        </w:rPr>
        <w:t>本省</w:t>
      </w:r>
      <w:r>
        <w:rPr>
          <w:rFonts w:hint="default" w:ascii="Times New Roman" w:hAnsi="Times New Roman" w:eastAsia="仿宋_GB2312" w:cs="Times New Roman"/>
          <w:b w:val="0"/>
          <w:bCs w:val="0"/>
          <w:color w:val="auto"/>
          <w:sz w:val="32"/>
          <w:szCs w:val="40"/>
        </w:rPr>
        <w:t>高标准农田建设项目实行项目法人责任制，项目法人单位</w:t>
      </w:r>
      <w:r>
        <w:rPr>
          <w:rFonts w:hint="default" w:ascii="Times New Roman" w:hAnsi="Times New Roman" w:eastAsia="仿宋_GB2312" w:cs="Times New Roman"/>
          <w:b w:val="0"/>
          <w:bCs w:val="0"/>
          <w:color w:val="auto"/>
          <w:sz w:val="32"/>
          <w:szCs w:val="40"/>
          <w:lang w:val="en-US" w:eastAsia="zh-CN"/>
        </w:rPr>
        <w:t>作为</w:t>
      </w:r>
      <w:r>
        <w:rPr>
          <w:rFonts w:hint="default" w:ascii="Times New Roman" w:hAnsi="Times New Roman" w:eastAsia="仿宋_GB2312" w:cs="Times New Roman"/>
          <w:b w:val="0"/>
          <w:bCs w:val="0"/>
          <w:color w:val="auto"/>
          <w:sz w:val="32"/>
          <w:szCs w:val="40"/>
        </w:rPr>
        <w:t>招标人</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是招</w:t>
      </w:r>
      <w:r>
        <w:rPr>
          <w:rFonts w:hint="default" w:ascii="Times New Roman" w:hAnsi="Times New Roman" w:eastAsia="仿宋_GB2312" w:cs="Times New Roman"/>
          <w:b w:val="0"/>
          <w:bCs w:val="0"/>
          <w:color w:val="auto"/>
          <w:sz w:val="32"/>
          <w:szCs w:val="40"/>
          <w:lang w:val="en-US" w:eastAsia="zh-CN"/>
        </w:rPr>
        <w:t>标</w:t>
      </w:r>
      <w:r>
        <w:rPr>
          <w:rFonts w:hint="default" w:ascii="Times New Roman" w:hAnsi="Times New Roman" w:eastAsia="仿宋_GB2312" w:cs="Times New Roman"/>
          <w:b w:val="0"/>
          <w:bCs w:val="0"/>
          <w:color w:val="auto"/>
          <w:sz w:val="32"/>
          <w:szCs w:val="40"/>
        </w:rPr>
        <w:t>投标活动的责任主体，对招标过程和结果负责。项目法人单位主要负责人是第一责任人。</w:t>
      </w:r>
    </w:p>
    <w:p w14:paraId="43E38D8D">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招标人应当根据招标项目具体特点和满足实际需要为限度，依法合理设置投标人资格条件和评标标准，不得以不合理条件限制、排斥潜在投标人。依法必须招标项目不得提出注册地址、所有制形式、市场占有率、特定行政区域或者特定行业业绩、取得非强制资质认证、设立本地分支机构、本地缴纳税收社保等要求，不得套用特定生产供应者的条件设定投标人资格、技术、商务条件。</w:t>
      </w:r>
    </w:p>
    <w:p w14:paraId="66105714">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招标人应当在中标候选人公示前认真审查评标委员会提交的书面评标报告，发现异常情形的，依照法定程序进行复核，确认存在问题的，依照法定程序予以纠正。</w:t>
      </w:r>
    </w:p>
    <w:p w14:paraId="280F9514">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招标人是异议处理的责任主体，应当畅通异议渠道，在招标公告和公示信息中公布受理异议的联系人和联系方式，在法定时限内答复和处理异议。</w:t>
      </w:r>
    </w:p>
    <w:p w14:paraId="0290FEDA">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highlight w:val="none"/>
          <w:lang w:val="en-US" w:eastAsia="zh-CN"/>
        </w:rPr>
        <w:t xml:space="preserve">第八条 </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黑体" w:cs="Times New Roman"/>
          <w:b w:val="0"/>
          <w:bCs w:val="0"/>
          <w:color w:val="auto"/>
          <w:kern w:val="0"/>
          <w:sz w:val="32"/>
          <w:szCs w:val="32"/>
          <w:highlight w:val="none"/>
          <w:lang w:val="en-US" w:eastAsia="zh-CN"/>
        </w:rPr>
        <w:t>规范投标和履约行为</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sz w:val="32"/>
          <w:szCs w:val="40"/>
          <w:lang w:val="en-US" w:eastAsia="zh-CN"/>
        </w:rPr>
        <w:t>投标人应当严格遵守有关法律法规和行业标准规范，依法诚信参加投标，自觉维护公平竞争秩序。</w:t>
      </w:r>
    </w:p>
    <w:p w14:paraId="5EFB1394">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投标人不得以恶意降低报价中标，不得出现拖欠农工工资、擅自更换项目经理、技术负责人等行为。</w:t>
      </w:r>
    </w:p>
    <w:p w14:paraId="15C981B5">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禁止投标人串通投标、弄虚作假、采取行贿手段谋取中标等违法行为；禁止中标后违法分包、非法转包。</w:t>
      </w:r>
    </w:p>
    <w:p w14:paraId="0A7B487F">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密切关注中标率异常低、不以中标为目的投标的“陪标专业户”。重点关注投标人之间存在关联关系、经常性“抱团”投标等围标串标高风险迹象。</w:t>
      </w:r>
    </w:p>
    <w:p w14:paraId="19B6C460">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highlight w:val="none"/>
          <w:lang w:val="en-US" w:eastAsia="zh-CN"/>
        </w:rPr>
        <w:t xml:space="preserve">第九条 </w:t>
      </w:r>
      <w:r>
        <w:rPr>
          <w:rFonts w:hint="default" w:ascii="Times New Roman" w:hAnsi="Times New Roman" w:eastAsia="黑体" w:cs="Times New Roman"/>
          <w:b w:val="0"/>
          <w:bCs w:val="0"/>
          <w:color w:val="auto"/>
          <w:kern w:val="0"/>
          <w:sz w:val="32"/>
          <w:szCs w:val="32"/>
          <w:highlight w:val="none"/>
          <w:lang w:eastAsia="zh-CN"/>
        </w:rPr>
        <w:t>【加强评标专家管理】</w:t>
      </w:r>
      <w:r>
        <w:rPr>
          <w:rFonts w:hint="default" w:ascii="Times New Roman" w:hAnsi="Times New Roman" w:eastAsia="仿宋_GB2312" w:cs="Times New Roman"/>
          <w:b w:val="0"/>
          <w:bCs w:val="0"/>
          <w:color w:val="auto"/>
          <w:sz w:val="32"/>
          <w:szCs w:val="40"/>
          <w:lang w:val="en-US" w:eastAsia="zh-CN"/>
        </w:rPr>
        <w:t>评标专家应当认真、公正、诚实、廉洁、勤勉地履行专家职责，按时参加评标，严格遵守评标纪律。</w:t>
      </w:r>
    </w:p>
    <w:p w14:paraId="58951F55">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rPr>
        <w:t>评标专家对其评审意见终身负责。因评审错误造成重大损失的，依法追究经济和法律责任。对评标专家不公正履职、私下接触投标人、透露评标信息等行为，依法依规严肃处理，清退出专家库，并通报其所在单位。</w:t>
      </w:r>
    </w:p>
    <w:p w14:paraId="14AB54C8">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highlight w:val="none"/>
          <w:lang w:val="en-US" w:eastAsia="zh-CN"/>
        </w:rPr>
        <w:t xml:space="preserve">第十条 </w:t>
      </w:r>
      <w:r>
        <w:rPr>
          <w:rFonts w:hint="default" w:ascii="Times New Roman" w:hAnsi="Times New Roman" w:eastAsia="黑体" w:cs="Times New Roman"/>
          <w:b w:val="0"/>
          <w:bCs w:val="0"/>
          <w:color w:val="auto"/>
          <w:kern w:val="0"/>
          <w:sz w:val="32"/>
          <w:szCs w:val="32"/>
          <w:highlight w:val="none"/>
          <w:lang w:eastAsia="zh-CN"/>
        </w:rPr>
        <w:t>【规范招标代理服务行为】</w:t>
      </w:r>
      <w:r>
        <w:rPr>
          <w:rFonts w:hint="default" w:ascii="Times New Roman" w:hAnsi="Times New Roman" w:eastAsia="仿宋_GB2312" w:cs="Times New Roman"/>
          <w:b w:val="0"/>
          <w:bCs w:val="0"/>
          <w:color w:val="auto"/>
          <w:sz w:val="32"/>
          <w:szCs w:val="40"/>
          <w:lang w:val="en-US" w:eastAsia="zh-CN"/>
        </w:rPr>
        <w:t>招标代理机构及其从业人员应当依法依规、诚信自律经营，严禁采取行贿、提供回扣或者输送不正当利益等非法手段承揽业务。</w:t>
      </w:r>
    </w:p>
    <w:p w14:paraId="37100AE6">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加强招标代理行业自律建设，鼓励招标人对建设行政主管部门招标代理机构信用评价结果的应用，从而推动提升招标代理服务能力。</w:t>
      </w:r>
    </w:p>
    <w:p w14:paraId="275D0256">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规范招标代理服务费收取标准，不得超高收费，招标代理服务费收取标准应当在招标代理合同中明确，重点检查未按约定收取招标代理服务费行为。</w:t>
      </w:r>
    </w:p>
    <w:p w14:paraId="3D353B7F">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招标代理机构与招标人串通、私下接触投标人、泄露保密信息等违法行为，严重损害国家、社会公共利益或他人合法权益的，对招标代理机构及其直接责任人员依法予以处理，实行“行业禁入”，同步推送至信用中国</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吉林</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网站。对依法应当吊销营业执照的及时向市场监管部门移送线索，涉嫌犯罪的移交公安、司法机关。</w:t>
      </w:r>
    </w:p>
    <w:p w14:paraId="49C2A57E">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highlight w:val="none"/>
          <w:lang w:val="en-US" w:eastAsia="zh-CN"/>
        </w:rPr>
        <w:t xml:space="preserve">第十一条 </w:t>
      </w:r>
      <w:r>
        <w:rPr>
          <w:rFonts w:hint="default" w:ascii="Times New Roman" w:hAnsi="Times New Roman" w:eastAsia="黑体" w:cs="Times New Roman"/>
          <w:b w:val="0"/>
          <w:bCs w:val="0"/>
          <w:color w:val="auto"/>
          <w:kern w:val="0"/>
          <w:sz w:val="32"/>
          <w:szCs w:val="32"/>
          <w:highlight w:val="none"/>
          <w:lang w:eastAsia="zh-CN"/>
        </w:rPr>
        <w:t>【落实监督管理职责】</w:t>
      </w:r>
      <w:r>
        <w:rPr>
          <w:rFonts w:hint="default" w:ascii="Times New Roman" w:hAnsi="Times New Roman" w:eastAsia="仿宋_GB2312" w:cs="Times New Roman"/>
          <w:b w:val="0"/>
          <w:bCs w:val="0"/>
          <w:color w:val="auto"/>
          <w:sz w:val="32"/>
          <w:szCs w:val="40"/>
          <w:lang w:val="en-US" w:eastAsia="zh-CN"/>
        </w:rPr>
        <w:t>各级农业农村部门要按照职责分工，畅通投诉渠道，依法处理招标投标违法行为投诉。</w:t>
      </w:r>
    </w:p>
    <w:p w14:paraId="491BECA3">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trike w:val="0"/>
          <w:dstrike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40"/>
          <w:lang w:val="en-US" w:eastAsia="zh-CN"/>
        </w:rPr>
        <w:t>加大监管力度，与公安机关建立有效的协调联动机制，加大对围标串标等违法犯罪行为的打击力度。加强与纪检监察机关、审计机关协作配合，按照规定做好招标投标领域违规违纪违法问题线索移交，对收到的问题线索认真核查处理。</w:t>
      </w:r>
    </w:p>
    <w:p w14:paraId="6C41E792">
      <w:pPr>
        <w:keepNext w:val="0"/>
        <w:keepLines w:val="0"/>
        <w:pageBreakBefore w:val="0"/>
        <w:widowControl/>
        <w:kinsoku/>
        <w:wordWrap/>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lang w:val="en-US" w:eastAsia="zh-CN"/>
        </w:rPr>
      </w:pPr>
    </w:p>
    <w:p w14:paraId="2E7AE5B8">
      <w:pPr>
        <w:keepNext w:val="0"/>
        <w:keepLines w:val="0"/>
        <w:pageBreakBefore w:val="0"/>
        <w:widowControl/>
        <w:kinsoku/>
        <w:wordWrap/>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第三章</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招标、投标</w:t>
      </w:r>
    </w:p>
    <w:p w14:paraId="5568F812">
      <w:pPr>
        <w:keepNext w:val="0"/>
        <w:keepLines w:val="0"/>
        <w:pageBreakBefore w:val="0"/>
        <w:widowControl/>
        <w:numPr>
          <w:ilvl w:val="0"/>
          <w:numId w:val="0"/>
        </w:numPr>
        <w:kinsoku/>
        <w:wordWrap/>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b w:val="0"/>
          <w:bCs w:val="0"/>
          <w:color w:val="auto"/>
          <w:sz w:val="32"/>
          <w:szCs w:val="32"/>
        </w:rPr>
      </w:pPr>
    </w:p>
    <w:p w14:paraId="3C94A6A6">
      <w:pPr>
        <w:keepNext w:val="0"/>
        <w:keepLines w:val="0"/>
        <w:pageBreakBefore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kern w:val="0"/>
          <w:sz w:val="32"/>
          <w:szCs w:val="32"/>
          <w:lang w:val="en-US" w:eastAsia="zh-CN" w:bidi="ar-SA"/>
        </w:rPr>
        <w:t>第十二条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highlight w:val="none"/>
          <w:lang w:val="en-US" w:eastAsia="zh-CN"/>
        </w:rPr>
        <w:t>【委托招标】</w:t>
      </w:r>
      <w:r>
        <w:rPr>
          <w:rFonts w:hint="default" w:ascii="Times New Roman" w:hAnsi="Times New Roman" w:eastAsia="仿宋_GB2312" w:cs="Times New Roman"/>
          <w:b w:val="0"/>
          <w:bCs w:val="0"/>
          <w:color w:val="auto"/>
          <w:sz w:val="32"/>
          <w:szCs w:val="40"/>
          <w:lang w:val="en-US" w:eastAsia="zh-CN"/>
        </w:rPr>
        <w:t>高标准农田建设项目需要招标的</w:t>
      </w:r>
      <w:r>
        <w:rPr>
          <w:rFonts w:hint="default" w:ascii="Times New Roman" w:hAnsi="Times New Roman" w:eastAsia="仿宋_GB2312" w:cs="Times New Roman"/>
          <w:b w:val="0"/>
          <w:bCs w:val="0"/>
          <w:color w:val="auto"/>
          <w:sz w:val="32"/>
          <w:szCs w:val="40"/>
        </w:rPr>
        <w:t>，</w:t>
      </w:r>
      <w:r>
        <w:rPr>
          <w:rFonts w:hint="default" w:ascii="Times New Roman" w:hAnsi="Times New Roman" w:eastAsia="仿宋_GB2312" w:cs="Times New Roman"/>
          <w:b w:val="0"/>
          <w:bCs w:val="0"/>
          <w:color w:val="auto"/>
          <w:sz w:val="32"/>
          <w:szCs w:val="40"/>
          <w:lang w:val="en-US" w:eastAsia="zh-CN"/>
        </w:rPr>
        <w:t>招标人原则上</w:t>
      </w:r>
      <w:r>
        <w:rPr>
          <w:rFonts w:hint="default" w:ascii="Times New Roman" w:hAnsi="Times New Roman" w:eastAsia="仿宋_GB2312" w:cs="Times New Roman"/>
          <w:b w:val="0"/>
          <w:bCs w:val="0"/>
          <w:color w:val="auto"/>
          <w:sz w:val="32"/>
          <w:szCs w:val="40"/>
        </w:rPr>
        <w:t>应</w:t>
      </w:r>
      <w:r>
        <w:rPr>
          <w:rFonts w:hint="default" w:ascii="Times New Roman" w:hAnsi="Times New Roman" w:eastAsia="仿宋_GB2312" w:cs="Times New Roman"/>
          <w:b w:val="0"/>
          <w:bCs w:val="0"/>
          <w:color w:val="auto"/>
          <w:sz w:val="32"/>
          <w:szCs w:val="40"/>
          <w:lang w:val="en-US" w:eastAsia="zh-CN"/>
        </w:rPr>
        <w:t>当</w:t>
      </w:r>
      <w:r>
        <w:rPr>
          <w:rFonts w:hint="default" w:ascii="Times New Roman" w:hAnsi="Times New Roman" w:eastAsia="仿宋_GB2312" w:cs="Times New Roman"/>
          <w:b w:val="0"/>
          <w:bCs w:val="0"/>
          <w:color w:val="auto"/>
          <w:sz w:val="32"/>
          <w:szCs w:val="40"/>
        </w:rPr>
        <w:t>委托招标代理机构</w:t>
      </w:r>
      <w:r>
        <w:rPr>
          <w:rFonts w:hint="default" w:ascii="Times New Roman" w:hAnsi="Times New Roman" w:eastAsia="仿宋_GB2312" w:cs="Times New Roman"/>
          <w:b w:val="0"/>
          <w:bCs w:val="0"/>
          <w:color w:val="auto"/>
          <w:sz w:val="32"/>
          <w:szCs w:val="40"/>
          <w:lang w:val="en-US" w:eastAsia="zh-CN"/>
        </w:rPr>
        <w:t>实施，招标代理机构应当遵循国家有关规定开展招标代理业务。依法经项目审批、核准部门确定的招标范围、招标方式、招标组织形式，未经批准不得随意变更。</w:t>
      </w:r>
    </w:p>
    <w:p w14:paraId="54139536">
      <w:pPr>
        <w:keepNext w:val="0"/>
        <w:keepLines w:val="0"/>
        <w:pageBreakBefore w:val="0"/>
        <w:widowControl/>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strike w:val="0"/>
          <w:dstrike w:val="0"/>
          <w:color w:val="auto"/>
          <w:kern w:val="0"/>
          <w:sz w:val="32"/>
          <w:szCs w:val="32"/>
          <w:lang w:val="en-US" w:eastAsia="zh-CN" w:bidi="ar-SA"/>
        </w:rPr>
        <w:t xml:space="preserve">第十三条 </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黑体" w:cs="Times New Roman"/>
          <w:b w:val="0"/>
          <w:bCs w:val="0"/>
          <w:strike w:val="0"/>
          <w:dstrike w:val="0"/>
          <w:color w:val="auto"/>
          <w:kern w:val="0"/>
          <w:sz w:val="32"/>
          <w:szCs w:val="32"/>
          <w:lang w:val="en-US" w:eastAsia="zh-CN"/>
        </w:rPr>
        <w:t>招标计划发布</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仿宋_GB2312" w:cs="Times New Roman"/>
          <w:b w:val="0"/>
          <w:bCs w:val="0"/>
          <w:color w:val="auto"/>
          <w:sz w:val="32"/>
          <w:szCs w:val="40"/>
          <w:lang w:val="en-US" w:eastAsia="zh-CN"/>
        </w:rPr>
        <w:t>招标人在招标公告发布之日至少10日前,在吉林省公共资源交易公共服务平台发布招标计划。招标计划应当包括招标人、</w:t>
      </w:r>
      <w:r>
        <w:rPr>
          <w:rFonts w:hint="default" w:ascii="Times New Roman" w:hAnsi="Times New Roman" w:eastAsia="仿宋_GB2312" w:cs="Times New Roman"/>
          <w:b w:val="0"/>
          <w:bCs w:val="0"/>
          <w:color w:val="auto"/>
          <w:sz w:val="32"/>
          <w:szCs w:val="40"/>
        </w:rPr>
        <w:t>项目名称、</w:t>
      </w:r>
      <w:r>
        <w:rPr>
          <w:rFonts w:hint="default" w:ascii="Times New Roman" w:hAnsi="Times New Roman" w:eastAsia="仿宋_GB2312" w:cs="Times New Roman"/>
          <w:b w:val="0"/>
          <w:bCs w:val="0"/>
          <w:color w:val="auto"/>
          <w:sz w:val="32"/>
          <w:szCs w:val="40"/>
          <w:lang w:val="en-US" w:eastAsia="zh-CN"/>
        </w:rPr>
        <w:t>立项文件、</w:t>
      </w:r>
      <w:r>
        <w:rPr>
          <w:rFonts w:hint="default" w:ascii="Times New Roman" w:hAnsi="Times New Roman" w:eastAsia="仿宋_GB2312" w:cs="Times New Roman"/>
          <w:b w:val="0"/>
          <w:bCs w:val="0"/>
          <w:color w:val="auto"/>
          <w:sz w:val="32"/>
          <w:szCs w:val="40"/>
        </w:rPr>
        <w:t>建设地点、建设内容、估算价、拟划分标段、</w:t>
      </w:r>
      <w:r>
        <w:rPr>
          <w:rFonts w:hint="default" w:ascii="Times New Roman" w:hAnsi="Times New Roman" w:eastAsia="仿宋_GB2312" w:cs="Times New Roman"/>
          <w:b w:val="0"/>
          <w:bCs w:val="0"/>
          <w:color w:val="auto"/>
          <w:sz w:val="32"/>
          <w:szCs w:val="40"/>
          <w:lang w:val="en-US" w:eastAsia="zh-CN"/>
        </w:rPr>
        <w:t>监管部门联系方式</w:t>
      </w:r>
      <w:r>
        <w:rPr>
          <w:rFonts w:hint="default" w:ascii="Times New Roman" w:hAnsi="Times New Roman" w:eastAsia="仿宋_GB2312" w:cs="Times New Roman"/>
          <w:b w:val="0"/>
          <w:bCs w:val="0"/>
          <w:color w:val="auto"/>
          <w:sz w:val="32"/>
          <w:szCs w:val="40"/>
        </w:rPr>
        <w:t>，主动接受社会监督</w:t>
      </w:r>
      <w:r>
        <w:rPr>
          <w:rFonts w:hint="default" w:ascii="Times New Roman" w:hAnsi="Times New Roman" w:eastAsia="仿宋_GB2312" w:cs="Times New Roman"/>
          <w:b w:val="0"/>
          <w:bCs w:val="0"/>
          <w:color w:val="auto"/>
          <w:sz w:val="32"/>
          <w:szCs w:val="40"/>
          <w:lang w:val="en-US" w:eastAsia="zh-CN"/>
        </w:rPr>
        <w:t>。</w:t>
      </w:r>
    </w:p>
    <w:p w14:paraId="24C7E9BF">
      <w:pPr>
        <w:keepNext w:val="0"/>
        <w:keepLines w:val="0"/>
        <w:pageBreakBefore w:val="0"/>
        <w:widowControl/>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strike w:val="0"/>
          <w:dstrike w:val="0"/>
          <w:color w:val="auto"/>
          <w:kern w:val="0"/>
          <w:sz w:val="32"/>
          <w:szCs w:val="32"/>
        </w:rPr>
        <w:t>第十</w:t>
      </w:r>
      <w:r>
        <w:rPr>
          <w:rFonts w:hint="default" w:ascii="Times New Roman" w:hAnsi="Times New Roman" w:eastAsia="黑体" w:cs="Times New Roman"/>
          <w:b w:val="0"/>
          <w:bCs w:val="0"/>
          <w:strike w:val="0"/>
          <w:dstrike w:val="0"/>
          <w:color w:val="auto"/>
          <w:kern w:val="0"/>
          <w:sz w:val="32"/>
          <w:szCs w:val="32"/>
          <w:lang w:val="en-US" w:eastAsia="zh-CN"/>
        </w:rPr>
        <w:t>四</w:t>
      </w:r>
      <w:r>
        <w:rPr>
          <w:rFonts w:hint="default" w:ascii="Times New Roman" w:hAnsi="Times New Roman" w:eastAsia="黑体" w:cs="Times New Roman"/>
          <w:b w:val="0"/>
          <w:bCs w:val="0"/>
          <w:strike w:val="0"/>
          <w:dstrike w:val="0"/>
          <w:color w:val="auto"/>
          <w:kern w:val="0"/>
          <w:sz w:val="32"/>
          <w:szCs w:val="32"/>
        </w:rPr>
        <w:t xml:space="preserve">条 </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黑体" w:cs="Times New Roman"/>
          <w:b w:val="0"/>
          <w:bCs w:val="0"/>
          <w:strike w:val="0"/>
          <w:dstrike w:val="0"/>
          <w:color w:val="auto"/>
          <w:kern w:val="0"/>
          <w:sz w:val="32"/>
          <w:szCs w:val="32"/>
          <w:lang w:val="en-US" w:eastAsia="zh-CN"/>
        </w:rPr>
        <w:t>招标文件</w:t>
      </w:r>
      <w:r>
        <w:rPr>
          <w:rFonts w:hint="default" w:ascii="Times New Roman" w:hAnsi="Times New Roman" w:eastAsia="黑体" w:cs="Times New Roman"/>
          <w:b w:val="0"/>
          <w:bCs w:val="0"/>
          <w:strike w:val="0"/>
          <w:dstrike w:val="0"/>
          <w:color w:val="auto"/>
          <w:kern w:val="0"/>
          <w:sz w:val="32"/>
          <w:szCs w:val="32"/>
          <w:lang w:eastAsia="zh-CN"/>
        </w:rPr>
        <w:t>公平竞争审查】</w:t>
      </w:r>
      <w:r>
        <w:rPr>
          <w:rFonts w:hint="default" w:ascii="Times New Roman" w:hAnsi="Times New Roman" w:eastAsia="仿宋_GB2312" w:cs="Times New Roman"/>
          <w:b w:val="0"/>
          <w:bCs w:val="0"/>
          <w:color w:val="auto"/>
          <w:sz w:val="32"/>
          <w:szCs w:val="40"/>
          <w:lang w:val="en-US" w:eastAsia="zh-CN"/>
        </w:rPr>
        <w:t>招标人应当对投标人须知前附表、评标办法等内容，通过专家咨询论证、媒体公开征求意见等方式进行公平竞争审查。招标文件公示前，应当向项目所在地的市（州）农业农村部门提交《招标文件公平竞争审查报告》。</w:t>
      </w:r>
    </w:p>
    <w:p w14:paraId="53824787">
      <w:pPr>
        <w:keepNext w:val="0"/>
        <w:keepLines w:val="0"/>
        <w:pageBreakBefore w:val="0"/>
        <w:widowControl/>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strike w:val="0"/>
          <w:dstrike w:val="0"/>
          <w:color w:val="auto"/>
          <w:kern w:val="0"/>
          <w:sz w:val="32"/>
          <w:szCs w:val="32"/>
        </w:rPr>
        <w:t>第十</w:t>
      </w:r>
      <w:r>
        <w:rPr>
          <w:rFonts w:hint="default" w:ascii="Times New Roman" w:hAnsi="Times New Roman" w:eastAsia="黑体" w:cs="Times New Roman"/>
          <w:b w:val="0"/>
          <w:bCs w:val="0"/>
          <w:strike w:val="0"/>
          <w:dstrike w:val="0"/>
          <w:color w:val="auto"/>
          <w:kern w:val="0"/>
          <w:sz w:val="32"/>
          <w:szCs w:val="32"/>
          <w:lang w:val="en-US" w:eastAsia="zh-CN"/>
        </w:rPr>
        <w:t>五</w:t>
      </w:r>
      <w:r>
        <w:rPr>
          <w:rFonts w:hint="default" w:ascii="Times New Roman" w:hAnsi="Times New Roman" w:eastAsia="黑体" w:cs="Times New Roman"/>
          <w:b w:val="0"/>
          <w:bCs w:val="0"/>
          <w:strike w:val="0"/>
          <w:dstrike w:val="0"/>
          <w:color w:val="auto"/>
          <w:kern w:val="0"/>
          <w:sz w:val="32"/>
          <w:szCs w:val="32"/>
        </w:rPr>
        <w:t xml:space="preserve">条 </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黑体" w:cs="Times New Roman"/>
          <w:b w:val="0"/>
          <w:bCs w:val="0"/>
          <w:strike w:val="0"/>
          <w:dstrike w:val="0"/>
          <w:color w:val="auto"/>
          <w:kern w:val="0"/>
          <w:sz w:val="32"/>
          <w:szCs w:val="32"/>
          <w:lang w:val="en-US" w:eastAsia="zh-CN"/>
        </w:rPr>
        <w:t>招标文件公示</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仿宋_GB2312" w:cs="Times New Roman"/>
          <w:b w:val="0"/>
          <w:bCs w:val="0"/>
          <w:color w:val="auto"/>
          <w:sz w:val="32"/>
          <w:szCs w:val="40"/>
          <w:lang w:val="en-US" w:eastAsia="zh-CN"/>
        </w:rPr>
        <w:t>招标公告发布前，应当将投标人须知前附表、评标办法等内容在吉林省公共资源交易公共服务平台公示不少于3日，招标人可在招标计划发布期间同步进行公示，征求潜在投标人和社会公众意见。</w:t>
      </w:r>
    </w:p>
    <w:p w14:paraId="5912F1F1">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strike w:val="0"/>
          <w:dstrike w:val="0"/>
          <w:color w:val="auto"/>
          <w:kern w:val="0"/>
          <w:sz w:val="32"/>
          <w:szCs w:val="32"/>
        </w:rPr>
        <w:t>第十</w:t>
      </w:r>
      <w:r>
        <w:rPr>
          <w:rFonts w:hint="default" w:ascii="Times New Roman" w:hAnsi="Times New Roman" w:eastAsia="黑体" w:cs="Times New Roman"/>
          <w:b w:val="0"/>
          <w:bCs w:val="0"/>
          <w:strike w:val="0"/>
          <w:dstrike w:val="0"/>
          <w:color w:val="auto"/>
          <w:kern w:val="0"/>
          <w:sz w:val="32"/>
          <w:szCs w:val="32"/>
          <w:lang w:val="en-US" w:eastAsia="zh-CN"/>
        </w:rPr>
        <w:t>六</w:t>
      </w:r>
      <w:r>
        <w:rPr>
          <w:rFonts w:hint="default" w:ascii="Times New Roman" w:hAnsi="Times New Roman" w:eastAsia="黑体" w:cs="Times New Roman"/>
          <w:b w:val="0"/>
          <w:bCs w:val="0"/>
          <w:strike w:val="0"/>
          <w:dstrike w:val="0"/>
          <w:color w:val="auto"/>
          <w:kern w:val="0"/>
          <w:sz w:val="32"/>
          <w:szCs w:val="32"/>
        </w:rPr>
        <w:t xml:space="preserve">条 </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黑体" w:cs="Times New Roman"/>
          <w:b w:val="0"/>
          <w:bCs w:val="0"/>
          <w:strike w:val="0"/>
          <w:dstrike w:val="0"/>
          <w:color w:val="auto"/>
          <w:kern w:val="0"/>
          <w:sz w:val="32"/>
          <w:szCs w:val="32"/>
          <w:lang w:val="en-US" w:eastAsia="zh-CN"/>
        </w:rPr>
        <w:t>招标文件</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仿宋_GB2312" w:cs="Times New Roman"/>
          <w:b w:val="0"/>
          <w:bCs w:val="0"/>
          <w:color w:val="auto"/>
          <w:sz w:val="32"/>
          <w:szCs w:val="40"/>
        </w:rPr>
        <w:t>招标人</w:t>
      </w:r>
      <w:r>
        <w:rPr>
          <w:rFonts w:hint="default" w:ascii="Times New Roman" w:hAnsi="Times New Roman" w:eastAsia="仿宋_GB2312" w:cs="Times New Roman"/>
          <w:b w:val="0"/>
          <w:bCs w:val="0"/>
          <w:color w:val="auto"/>
          <w:sz w:val="32"/>
          <w:szCs w:val="40"/>
          <w:lang w:eastAsia="zh-CN"/>
        </w:rPr>
        <w:t>应</w:t>
      </w:r>
      <w:r>
        <w:rPr>
          <w:rFonts w:hint="default" w:ascii="Times New Roman" w:hAnsi="Times New Roman" w:eastAsia="仿宋_GB2312" w:cs="Times New Roman"/>
          <w:b w:val="0"/>
          <w:bCs w:val="0"/>
          <w:color w:val="auto"/>
          <w:sz w:val="32"/>
          <w:szCs w:val="40"/>
          <w:lang w:val="en-US" w:eastAsia="zh-CN"/>
        </w:rPr>
        <w:t>当使用国家标准招标文件范本，</w:t>
      </w:r>
      <w:r>
        <w:rPr>
          <w:rFonts w:hint="default" w:ascii="Times New Roman" w:hAnsi="Times New Roman" w:eastAsia="仿宋_GB2312" w:cs="Times New Roman"/>
          <w:b w:val="0"/>
          <w:bCs w:val="0"/>
          <w:color w:val="auto"/>
          <w:sz w:val="32"/>
          <w:szCs w:val="40"/>
        </w:rPr>
        <w:t>结合项目特点、</w:t>
      </w:r>
      <w:r>
        <w:rPr>
          <w:rFonts w:hint="default" w:ascii="Times New Roman" w:hAnsi="Times New Roman" w:eastAsia="仿宋_GB2312" w:cs="Times New Roman"/>
          <w:b w:val="0"/>
          <w:bCs w:val="0"/>
          <w:color w:val="auto"/>
          <w:sz w:val="32"/>
          <w:szCs w:val="40"/>
          <w:lang w:val="en-US" w:eastAsia="zh-CN"/>
        </w:rPr>
        <w:t>技术标准及要求编制招标文件。</w:t>
      </w:r>
    </w:p>
    <w:p w14:paraId="3E8E471E">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eastAsia="zh-CN"/>
        </w:rPr>
      </w:pPr>
      <w:r>
        <w:rPr>
          <w:rFonts w:hint="default" w:ascii="Times New Roman" w:hAnsi="Times New Roman" w:eastAsia="仿宋_GB2312" w:cs="Times New Roman"/>
          <w:b w:val="0"/>
          <w:bCs w:val="0"/>
          <w:color w:val="auto"/>
          <w:sz w:val="32"/>
          <w:szCs w:val="40"/>
          <w:lang w:val="en-US" w:eastAsia="zh-CN"/>
        </w:rPr>
        <w:t>招标文件中应当要求</w:t>
      </w:r>
      <w:r>
        <w:rPr>
          <w:rFonts w:hint="default" w:ascii="Times New Roman" w:hAnsi="Times New Roman" w:eastAsia="仿宋_GB2312" w:cs="Times New Roman"/>
          <w:b w:val="0"/>
          <w:bCs w:val="0"/>
          <w:color w:val="auto"/>
          <w:sz w:val="32"/>
          <w:szCs w:val="40"/>
        </w:rPr>
        <w:t>技术</w:t>
      </w:r>
      <w:r>
        <w:rPr>
          <w:rFonts w:hint="default" w:ascii="Times New Roman" w:hAnsi="Times New Roman" w:eastAsia="仿宋_GB2312" w:cs="Times New Roman"/>
          <w:b w:val="0"/>
          <w:bCs w:val="0"/>
          <w:color w:val="auto"/>
          <w:sz w:val="32"/>
          <w:szCs w:val="40"/>
          <w:lang w:val="en-US" w:eastAsia="zh-CN"/>
        </w:rPr>
        <w:t>标部分</w:t>
      </w:r>
      <w:r>
        <w:rPr>
          <w:rFonts w:hint="default" w:ascii="Times New Roman" w:hAnsi="Times New Roman" w:eastAsia="仿宋_GB2312" w:cs="Times New Roman"/>
          <w:b w:val="0"/>
          <w:bCs w:val="0"/>
          <w:color w:val="auto"/>
          <w:sz w:val="32"/>
          <w:szCs w:val="40"/>
        </w:rPr>
        <w:t>为</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暗标</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lang w:val="en-US" w:eastAsia="zh-CN"/>
        </w:rPr>
        <w:t>该部分内容应当</w:t>
      </w:r>
      <w:r>
        <w:rPr>
          <w:rFonts w:hint="default" w:ascii="Times New Roman" w:hAnsi="Times New Roman" w:eastAsia="仿宋_GB2312" w:cs="Times New Roman"/>
          <w:b w:val="0"/>
          <w:bCs w:val="0"/>
          <w:color w:val="auto"/>
          <w:sz w:val="32"/>
          <w:szCs w:val="40"/>
        </w:rPr>
        <w:t>采用无单位标识、无特殊标记的格式，如封面、</w:t>
      </w:r>
      <w:r>
        <w:rPr>
          <w:rFonts w:hint="default" w:ascii="Times New Roman" w:hAnsi="Times New Roman" w:eastAsia="仿宋_GB2312" w:cs="Times New Roman"/>
          <w:b w:val="0"/>
          <w:bCs w:val="0"/>
          <w:color w:val="auto"/>
          <w:sz w:val="32"/>
          <w:szCs w:val="40"/>
          <w:lang w:val="en-US" w:eastAsia="zh-CN"/>
        </w:rPr>
        <w:t>目录、</w:t>
      </w:r>
      <w:r>
        <w:rPr>
          <w:rFonts w:hint="default" w:ascii="Times New Roman" w:hAnsi="Times New Roman" w:eastAsia="仿宋_GB2312" w:cs="Times New Roman"/>
          <w:b w:val="0"/>
          <w:bCs w:val="0"/>
          <w:color w:val="auto"/>
          <w:sz w:val="32"/>
          <w:szCs w:val="40"/>
        </w:rPr>
        <w:t>字体</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字号、行距</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lang w:val="en-US" w:eastAsia="zh-CN"/>
        </w:rPr>
        <w:t>段落及页面布局等统一要求，</w:t>
      </w:r>
      <w:r>
        <w:rPr>
          <w:rFonts w:hint="default" w:ascii="Times New Roman" w:hAnsi="Times New Roman" w:eastAsia="仿宋_GB2312" w:cs="Times New Roman"/>
          <w:b w:val="0"/>
          <w:bCs w:val="0"/>
          <w:color w:val="auto"/>
          <w:sz w:val="32"/>
          <w:szCs w:val="40"/>
        </w:rPr>
        <w:t>不得</w:t>
      </w:r>
      <w:r>
        <w:rPr>
          <w:rFonts w:hint="default" w:ascii="Times New Roman" w:hAnsi="Times New Roman" w:eastAsia="仿宋_GB2312" w:cs="Times New Roman"/>
          <w:b w:val="0"/>
          <w:bCs w:val="0"/>
          <w:color w:val="auto"/>
          <w:sz w:val="32"/>
          <w:szCs w:val="40"/>
          <w:lang w:val="en-US" w:eastAsia="zh-CN"/>
        </w:rPr>
        <w:t>标注</w:t>
      </w:r>
      <w:r>
        <w:rPr>
          <w:rFonts w:hint="default" w:ascii="Times New Roman" w:hAnsi="Times New Roman" w:eastAsia="仿宋_GB2312" w:cs="Times New Roman"/>
          <w:b w:val="0"/>
          <w:bCs w:val="0"/>
          <w:color w:val="auto"/>
          <w:sz w:val="32"/>
          <w:szCs w:val="40"/>
        </w:rPr>
        <w:t>页码、页眉页脚</w:t>
      </w:r>
      <w:r>
        <w:rPr>
          <w:rFonts w:hint="default" w:ascii="Times New Roman" w:hAnsi="Times New Roman" w:eastAsia="仿宋_GB2312" w:cs="Times New Roman"/>
          <w:b w:val="0"/>
          <w:bCs w:val="0"/>
          <w:color w:val="auto"/>
          <w:sz w:val="32"/>
          <w:szCs w:val="40"/>
          <w:lang w:eastAsia="zh-CN"/>
        </w:rPr>
        <w:t>。除</w:t>
      </w:r>
      <w:r>
        <w:rPr>
          <w:rFonts w:hint="default" w:ascii="Times New Roman" w:hAnsi="Times New Roman" w:eastAsia="仿宋_GB2312" w:cs="Times New Roman"/>
          <w:b w:val="0"/>
          <w:bCs w:val="0"/>
          <w:color w:val="auto"/>
          <w:sz w:val="32"/>
          <w:szCs w:val="40"/>
          <w:lang w:val="en-US" w:eastAsia="zh-CN"/>
        </w:rPr>
        <w:t>封面</w:t>
      </w:r>
      <w:r>
        <w:rPr>
          <w:rFonts w:hint="default" w:ascii="Times New Roman" w:hAnsi="Times New Roman" w:eastAsia="仿宋_GB2312" w:cs="Times New Roman"/>
          <w:b w:val="0"/>
          <w:bCs w:val="0"/>
          <w:color w:val="auto"/>
          <w:sz w:val="32"/>
          <w:szCs w:val="40"/>
          <w:lang w:eastAsia="zh-CN"/>
        </w:rPr>
        <w:t>和目录外，</w:t>
      </w:r>
      <w:r>
        <w:rPr>
          <w:rFonts w:hint="default" w:ascii="Times New Roman" w:hAnsi="Times New Roman" w:eastAsia="仿宋_GB2312" w:cs="Times New Roman"/>
          <w:b w:val="0"/>
          <w:bCs w:val="0"/>
          <w:color w:val="auto"/>
          <w:sz w:val="32"/>
          <w:szCs w:val="40"/>
          <w:lang w:val="en-US" w:eastAsia="zh-CN"/>
        </w:rPr>
        <w:t>技术部分正文内容</w:t>
      </w:r>
      <w:r>
        <w:rPr>
          <w:rFonts w:hint="default" w:ascii="Times New Roman" w:hAnsi="Times New Roman" w:eastAsia="仿宋_GB2312" w:cs="Times New Roman"/>
          <w:b w:val="0"/>
          <w:bCs w:val="0"/>
          <w:color w:val="auto"/>
          <w:sz w:val="32"/>
          <w:szCs w:val="40"/>
          <w:lang w:eastAsia="zh-CN"/>
        </w:rPr>
        <w:t>应</w:t>
      </w:r>
      <w:r>
        <w:rPr>
          <w:rFonts w:hint="default" w:ascii="Times New Roman" w:hAnsi="Times New Roman" w:eastAsia="仿宋_GB2312" w:cs="Times New Roman"/>
          <w:b w:val="0"/>
          <w:bCs w:val="0"/>
          <w:color w:val="auto"/>
          <w:sz w:val="32"/>
          <w:szCs w:val="40"/>
          <w:lang w:val="en-US" w:eastAsia="zh-CN"/>
        </w:rPr>
        <w:t>当不</w:t>
      </w:r>
      <w:r>
        <w:rPr>
          <w:rFonts w:hint="default" w:ascii="Times New Roman" w:hAnsi="Times New Roman" w:eastAsia="仿宋_GB2312" w:cs="Times New Roman"/>
          <w:b w:val="0"/>
          <w:bCs w:val="0"/>
          <w:color w:val="auto"/>
          <w:sz w:val="32"/>
          <w:szCs w:val="40"/>
          <w:lang w:eastAsia="zh-CN"/>
        </w:rPr>
        <w:t>超过</w:t>
      </w:r>
      <w:r>
        <w:rPr>
          <w:rFonts w:hint="default" w:ascii="Times New Roman" w:hAnsi="Times New Roman" w:eastAsia="仿宋_GB2312" w:cs="Times New Roman"/>
          <w:b w:val="0"/>
          <w:bCs w:val="0"/>
          <w:color w:val="auto"/>
          <w:sz w:val="32"/>
          <w:szCs w:val="40"/>
          <w:lang w:val="en-US" w:eastAsia="zh-CN"/>
        </w:rPr>
        <w:t>300</w:t>
      </w:r>
      <w:r>
        <w:rPr>
          <w:rFonts w:hint="default" w:ascii="Times New Roman" w:hAnsi="Times New Roman" w:eastAsia="仿宋_GB2312" w:cs="Times New Roman"/>
          <w:b w:val="0"/>
          <w:bCs w:val="0"/>
          <w:color w:val="auto"/>
          <w:sz w:val="32"/>
          <w:szCs w:val="40"/>
          <w:lang w:eastAsia="zh-CN"/>
        </w:rPr>
        <w:t>页。</w:t>
      </w:r>
    </w:p>
    <w:p w14:paraId="68688973">
      <w:pPr>
        <w:keepNext w:val="0"/>
        <w:keepLines w:val="0"/>
        <w:pageBreakBefore w:val="0"/>
        <w:widowControl/>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strike w:val="0"/>
          <w:dstrike w:val="0"/>
          <w:color w:val="auto"/>
          <w:kern w:val="0"/>
          <w:sz w:val="32"/>
          <w:szCs w:val="32"/>
        </w:rPr>
        <w:t>第十</w:t>
      </w:r>
      <w:r>
        <w:rPr>
          <w:rFonts w:hint="default" w:ascii="Times New Roman" w:hAnsi="Times New Roman" w:eastAsia="黑体" w:cs="Times New Roman"/>
          <w:b w:val="0"/>
          <w:bCs w:val="0"/>
          <w:strike w:val="0"/>
          <w:dstrike w:val="0"/>
          <w:color w:val="auto"/>
          <w:kern w:val="0"/>
          <w:sz w:val="32"/>
          <w:szCs w:val="32"/>
          <w:lang w:val="en-US" w:eastAsia="zh-CN"/>
        </w:rPr>
        <w:t>七</w:t>
      </w:r>
      <w:r>
        <w:rPr>
          <w:rFonts w:hint="default" w:ascii="Times New Roman" w:hAnsi="Times New Roman" w:eastAsia="黑体" w:cs="Times New Roman"/>
          <w:b w:val="0"/>
          <w:bCs w:val="0"/>
          <w:strike w:val="0"/>
          <w:dstrike w:val="0"/>
          <w:color w:val="auto"/>
          <w:kern w:val="0"/>
          <w:sz w:val="32"/>
          <w:szCs w:val="32"/>
        </w:rPr>
        <w:t xml:space="preserve">条 </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黑体" w:cs="Times New Roman"/>
          <w:b w:val="0"/>
          <w:bCs w:val="0"/>
          <w:strike w:val="0"/>
          <w:dstrike w:val="0"/>
          <w:color w:val="auto"/>
          <w:kern w:val="0"/>
          <w:sz w:val="32"/>
          <w:szCs w:val="32"/>
          <w:lang w:val="en-US" w:eastAsia="zh-CN"/>
        </w:rPr>
        <w:t>信息发布</w:t>
      </w:r>
      <w:r>
        <w:rPr>
          <w:rFonts w:hint="default" w:ascii="Times New Roman" w:hAnsi="Times New Roman" w:eastAsia="黑体" w:cs="Times New Roman"/>
          <w:b w:val="0"/>
          <w:bCs w:val="0"/>
          <w:strike w:val="0"/>
          <w:dstrike w:val="0"/>
          <w:color w:val="auto"/>
          <w:kern w:val="0"/>
          <w:sz w:val="32"/>
          <w:szCs w:val="32"/>
          <w:lang w:eastAsia="zh-CN"/>
        </w:rPr>
        <w:t>】</w:t>
      </w:r>
      <w:r>
        <w:rPr>
          <w:rFonts w:hint="default" w:ascii="Times New Roman" w:hAnsi="Times New Roman" w:eastAsia="仿宋_GB2312" w:cs="Times New Roman"/>
          <w:b w:val="0"/>
          <w:bCs w:val="0"/>
          <w:color w:val="auto"/>
          <w:sz w:val="32"/>
          <w:szCs w:val="40"/>
          <w:lang w:val="en-US" w:eastAsia="zh-CN"/>
        </w:rPr>
        <w:t>依法必须公开招标的高标准农田建设项目招标公告，</w:t>
      </w:r>
      <w:r>
        <w:rPr>
          <w:rFonts w:hint="default" w:ascii="Times New Roman" w:hAnsi="Times New Roman" w:eastAsia="仿宋_GB2312" w:cs="Times New Roman"/>
          <w:b w:val="0"/>
          <w:bCs w:val="0"/>
          <w:color w:val="auto"/>
          <w:sz w:val="32"/>
          <w:szCs w:val="40"/>
          <w:lang w:eastAsia="zh-CN"/>
        </w:rPr>
        <w:t>应</w:t>
      </w:r>
      <w:r>
        <w:rPr>
          <w:rFonts w:hint="default" w:ascii="Times New Roman" w:hAnsi="Times New Roman" w:eastAsia="仿宋_GB2312" w:cs="Times New Roman"/>
          <w:b w:val="0"/>
          <w:bCs w:val="0"/>
          <w:color w:val="auto"/>
          <w:sz w:val="32"/>
          <w:szCs w:val="40"/>
          <w:lang w:val="en-US" w:eastAsia="zh-CN"/>
        </w:rPr>
        <w:t>当</w:t>
      </w:r>
      <w:r>
        <w:rPr>
          <w:rFonts w:hint="default" w:ascii="Times New Roman" w:hAnsi="Times New Roman" w:eastAsia="仿宋_GB2312" w:cs="Times New Roman"/>
          <w:b w:val="0"/>
          <w:bCs w:val="0"/>
          <w:color w:val="auto"/>
          <w:sz w:val="32"/>
          <w:szCs w:val="40"/>
        </w:rPr>
        <w:t>在</w:t>
      </w:r>
      <w:r>
        <w:rPr>
          <w:rFonts w:hint="default" w:ascii="Times New Roman" w:hAnsi="Times New Roman" w:eastAsia="仿宋_GB2312" w:cs="Times New Roman"/>
          <w:b w:val="0"/>
          <w:bCs w:val="0"/>
          <w:color w:val="auto"/>
          <w:sz w:val="32"/>
          <w:szCs w:val="40"/>
          <w:lang w:val="en-US" w:eastAsia="zh-CN"/>
        </w:rPr>
        <w:t>中国招标投标公共服务平台和吉林省公共资源交易公共服务平台</w:t>
      </w:r>
      <w:r>
        <w:rPr>
          <w:rFonts w:hint="default" w:ascii="Times New Roman" w:hAnsi="Times New Roman" w:eastAsia="仿宋_GB2312" w:cs="Times New Roman"/>
          <w:b w:val="0"/>
          <w:bCs w:val="0"/>
          <w:color w:val="auto"/>
          <w:sz w:val="32"/>
          <w:szCs w:val="40"/>
        </w:rPr>
        <w:t>发布</w:t>
      </w:r>
      <w:r>
        <w:rPr>
          <w:rFonts w:hint="default" w:ascii="Times New Roman" w:hAnsi="Times New Roman" w:eastAsia="仿宋_GB2312" w:cs="Times New Roman"/>
          <w:b w:val="0"/>
          <w:bCs w:val="0"/>
          <w:color w:val="auto"/>
          <w:sz w:val="32"/>
          <w:szCs w:val="40"/>
          <w:lang w:val="en-US" w:eastAsia="zh-CN"/>
        </w:rPr>
        <w:t>。</w:t>
      </w:r>
    </w:p>
    <w:p w14:paraId="7BCC691F">
      <w:pPr>
        <w:keepNext w:val="0"/>
        <w:keepLines w:val="0"/>
        <w:pageBreakBefore w:val="0"/>
        <w:widowControl/>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lang w:val="en-US" w:eastAsia="zh-CN"/>
        </w:rPr>
        <w:t xml:space="preserve">第十八条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资格审查</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rPr>
        <w:t>除技术特别复杂项目外，原则上</w:t>
      </w:r>
      <w:r>
        <w:rPr>
          <w:rFonts w:hint="default" w:ascii="Times New Roman" w:hAnsi="Times New Roman" w:eastAsia="仿宋_GB2312" w:cs="Times New Roman"/>
          <w:b w:val="0"/>
          <w:bCs w:val="0"/>
          <w:color w:val="auto"/>
          <w:sz w:val="32"/>
          <w:szCs w:val="40"/>
          <w:lang w:val="en-US" w:eastAsia="zh-CN"/>
        </w:rPr>
        <w:t>应当</w:t>
      </w:r>
      <w:r>
        <w:rPr>
          <w:rFonts w:hint="default" w:ascii="Times New Roman" w:hAnsi="Times New Roman" w:eastAsia="仿宋_GB2312" w:cs="Times New Roman"/>
          <w:b w:val="0"/>
          <w:bCs w:val="0"/>
          <w:color w:val="auto"/>
          <w:sz w:val="32"/>
          <w:szCs w:val="40"/>
        </w:rPr>
        <w:t>采用资格后审方式</w:t>
      </w:r>
      <w:r>
        <w:rPr>
          <w:rFonts w:hint="default" w:ascii="Times New Roman" w:hAnsi="Times New Roman" w:eastAsia="仿宋_GB2312" w:cs="Times New Roman"/>
          <w:b w:val="0"/>
          <w:bCs w:val="0"/>
          <w:color w:val="auto"/>
          <w:sz w:val="32"/>
          <w:szCs w:val="40"/>
          <w:lang w:eastAsia="zh-CN"/>
        </w:rPr>
        <w:t>。</w:t>
      </w:r>
    </w:p>
    <w:p w14:paraId="1EDCEBDD">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lang w:val="en-US" w:eastAsia="zh-CN"/>
        </w:rPr>
        <w:t xml:space="preserve">第十九条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评标办法</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lang w:val="en-US" w:eastAsia="zh-CN"/>
        </w:rPr>
        <w:t>高标准农田建设项目采取招标方式的，</w:t>
      </w:r>
      <w:r>
        <w:rPr>
          <w:rFonts w:hint="default" w:ascii="Times New Roman" w:hAnsi="Times New Roman" w:eastAsia="仿宋_GB2312" w:cs="Times New Roman"/>
          <w:b w:val="0"/>
          <w:bCs w:val="0"/>
          <w:color w:val="auto"/>
          <w:sz w:val="32"/>
          <w:szCs w:val="40"/>
          <w:lang w:eastAsia="zh-CN"/>
        </w:rPr>
        <w:t>应</w:t>
      </w:r>
      <w:r>
        <w:rPr>
          <w:rFonts w:hint="default" w:ascii="Times New Roman" w:hAnsi="Times New Roman" w:eastAsia="仿宋_GB2312" w:cs="Times New Roman"/>
          <w:b w:val="0"/>
          <w:bCs w:val="0"/>
          <w:color w:val="auto"/>
          <w:sz w:val="32"/>
          <w:szCs w:val="40"/>
          <w:lang w:val="en-US" w:eastAsia="zh-CN"/>
        </w:rPr>
        <w:t>当合理选用综合评估法、经评审的最低投标价法或者法律法规允许的其他评标方法。</w:t>
      </w:r>
    </w:p>
    <w:p w14:paraId="2E7324C8">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采用综合评估法的，应当对投标文件提出的工程质量、施工工期或服务期限、投标价格、技术方案、投标人及项目经理业绩等，能否最大限度地满足招标文件中规定的各项要求和评价标准进行评审和比较。</w:t>
      </w:r>
    </w:p>
    <w:p w14:paraId="17F8DFC1">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采用经评审的最低投标价法的，应当在投标文件能够满足招标文件实质性要求的投标人中，评审出投标价格最低的投标人，但投标价格低于其企业成本的除外。</w:t>
      </w:r>
    </w:p>
    <w:p w14:paraId="7A28A33D">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lang w:val="en-US" w:eastAsia="zh-CN"/>
        </w:rPr>
        <w:t>第二十条</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投标</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rPr>
        <w:t>投标人应当具备</w:t>
      </w:r>
      <w:r>
        <w:rPr>
          <w:rFonts w:hint="default" w:ascii="Times New Roman" w:hAnsi="Times New Roman" w:eastAsia="仿宋_GB2312" w:cs="Times New Roman"/>
          <w:b w:val="0"/>
          <w:bCs w:val="0"/>
          <w:color w:val="auto"/>
          <w:sz w:val="32"/>
          <w:szCs w:val="40"/>
          <w:lang w:val="en-US" w:eastAsia="zh-CN"/>
        </w:rPr>
        <w:t>高标准</w:t>
      </w:r>
      <w:r>
        <w:rPr>
          <w:rFonts w:hint="default" w:ascii="Times New Roman" w:hAnsi="Times New Roman" w:eastAsia="仿宋_GB2312" w:cs="Times New Roman"/>
          <w:b w:val="0"/>
          <w:bCs w:val="0"/>
          <w:color w:val="auto"/>
          <w:sz w:val="32"/>
          <w:szCs w:val="40"/>
        </w:rPr>
        <w:t>农田建设项目所</w:t>
      </w:r>
      <w:r>
        <w:rPr>
          <w:rFonts w:hint="default" w:ascii="Times New Roman" w:hAnsi="Times New Roman" w:eastAsia="仿宋_GB2312" w:cs="Times New Roman"/>
          <w:b w:val="0"/>
          <w:bCs w:val="0"/>
          <w:color w:val="auto"/>
          <w:sz w:val="32"/>
          <w:szCs w:val="40"/>
          <w:lang w:val="en-US" w:eastAsia="zh-CN"/>
        </w:rPr>
        <w:t>需的相应资格与资质。通过吉林CA数字证书在吉林省公共资源交易一体化平台办理投标事宜。</w:t>
      </w:r>
    </w:p>
    <w:p w14:paraId="5F92873E">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投标人应当按照招标文件的要求和规定的内容编制投标文件，对招标文件提出的实质性要求和条件作出响应。</w:t>
      </w:r>
    </w:p>
    <w:p w14:paraId="4FAE268A">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lang w:val="en-US" w:eastAsia="zh-CN"/>
        </w:rPr>
        <w:t>第二十一条</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对投标人的限制</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lang w:val="en-US" w:eastAsia="zh-CN"/>
        </w:rPr>
        <w:t>与招标人存在利害关系可能影响招标公正性的法人、其他组织或者个人，不得参加投标。</w:t>
      </w:r>
    </w:p>
    <w:p w14:paraId="4866EC1D">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单位负责人为同一人，或者存在控股、管理关系的不同单位，不得参加同一标段或者未划分标段的同一招标项目的投标。</w:t>
      </w:r>
    </w:p>
    <w:p w14:paraId="64BF5010">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strike w:val="0"/>
          <w:dstrike w:val="0"/>
          <w:color w:val="auto"/>
          <w:kern w:val="0"/>
          <w:sz w:val="32"/>
          <w:szCs w:val="32"/>
          <w:lang w:val="en-US" w:eastAsia="zh-CN"/>
        </w:rPr>
        <w:t>二十二</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投标保证金</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lang w:eastAsia="zh-CN"/>
        </w:rPr>
        <w:t>投标人可采用现金、支票、保函等其中任何一种形式递交投标保证金</w:t>
      </w:r>
      <w:r>
        <w:rPr>
          <w:rFonts w:hint="default" w:ascii="Times New Roman" w:hAnsi="Times New Roman"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rPr>
        <w:t>投标保证金不超过招标项目估算价的1%，且最高不得超过50万元。</w:t>
      </w:r>
    </w:p>
    <w:p w14:paraId="2BE72995">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鼓励对信用良好</w:t>
      </w:r>
      <w:r>
        <w:rPr>
          <w:rFonts w:hint="default" w:ascii="Times New Roman" w:hAnsi="Times New Roman" w:eastAsia="仿宋_GB2312" w:cs="Times New Roman"/>
          <w:b w:val="0"/>
          <w:bCs w:val="0"/>
          <w:color w:val="auto"/>
          <w:sz w:val="32"/>
          <w:szCs w:val="40"/>
          <w:lang w:val="en-US" w:eastAsia="zh-CN"/>
        </w:rPr>
        <w:t>或无失信记录</w:t>
      </w:r>
      <w:r>
        <w:rPr>
          <w:rFonts w:hint="default" w:ascii="Times New Roman" w:hAnsi="Times New Roman" w:eastAsia="仿宋_GB2312" w:cs="Times New Roman"/>
          <w:b w:val="0"/>
          <w:bCs w:val="0"/>
          <w:color w:val="auto"/>
          <w:sz w:val="32"/>
          <w:szCs w:val="40"/>
        </w:rPr>
        <w:t>的投标人免收保证金或者选择以企业信用承诺函替代投标保证金。</w:t>
      </w:r>
    </w:p>
    <w:p w14:paraId="18257C5E">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single"/>
          <w:lang w:val="en-US" w:eastAsia="zh-CN"/>
        </w:rPr>
      </w:pPr>
    </w:p>
    <w:p w14:paraId="63EEF368">
      <w:pPr>
        <w:keepNext w:val="0"/>
        <w:keepLines w:val="0"/>
        <w:pageBreakBefore w:val="0"/>
        <w:widowControl/>
        <w:kinsoku/>
        <w:wordWrap/>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rPr>
        <w:t>章</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开标、评标和中标</w:t>
      </w:r>
    </w:p>
    <w:p w14:paraId="4579619D">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p>
    <w:p w14:paraId="5483285D">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二十三</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开标</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lang w:val="en-US" w:eastAsia="zh-CN"/>
        </w:rPr>
        <w:t>招标人应当按照招标文件规定的时间、地点开标。</w:t>
      </w:r>
    </w:p>
    <w:p w14:paraId="6B2E96A5">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投标人少于3个的，不得开标；招标人应当重新招标。</w:t>
      </w:r>
    </w:p>
    <w:p w14:paraId="5B6C7E65">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投标人对开标有异议的，应当在开标现场提出，招标人应当当场作出答复，并制作记录。</w:t>
      </w:r>
    </w:p>
    <w:p w14:paraId="5D795BFB">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二十四</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黑体" w:cs="Times New Roman"/>
          <w:b w:val="0"/>
          <w:bCs w:val="0"/>
          <w:color w:val="auto"/>
          <w:kern w:val="0"/>
          <w:sz w:val="32"/>
          <w:szCs w:val="32"/>
          <w:highlight w:val="none"/>
          <w:lang w:val="en-US" w:eastAsia="zh-CN"/>
        </w:rPr>
        <w:t>评标委员会组建</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sz w:val="32"/>
          <w:szCs w:val="40"/>
          <w:lang w:val="en-US" w:eastAsia="zh-CN"/>
        </w:rPr>
        <w:t>招标人应当根据项目特点和工作需要依法组建评标委员会。评标委员会由招标人代表和随机抽取的技术、经济专家组成，</w:t>
      </w:r>
      <w:r>
        <w:rPr>
          <w:rFonts w:hint="default" w:ascii="Times New Roman" w:hAnsi="Times New Roman" w:eastAsia="仿宋_GB2312" w:cs="Times New Roman"/>
          <w:b w:val="0"/>
          <w:bCs w:val="0"/>
          <w:color w:val="auto"/>
          <w:sz w:val="32"/>
          <w:szCs w:val="40"/>
        </w:rPr>
        <w:t>成员人数为5人以上单数，其中技术方面的专家不得少于成员总数的</w:t>
      </w:r>
      <w:r>
        <w:rPr>
          <w:rFonts w:hint="default" w:ascii="Times New Roman" w:hAnsi="Times New Roman" w:eastAsia="仿宋_GB2312" w:cs="Times New Roman"/>
          <w:b w:val="0"/>
          <w:bCs w:val="0"/>
          <w:color w:val="auto"/>
          <w:sz w:val="32"/>
          <w:szCs w:val="40"/>
          <w:lang w:val="en-US" w:eastAsia="zh-CN"/>
        </w:rPr>
        <w:t>2/3。招标人代表应当为本单位工作人员或者本单位聘用的专业技术人员并且应当具备评标专家相同标准的专业资格。招标人代表不得担任评标委员会主任。</w:t>
      </w:r>
    </w:p>
    <w:p w14:paraId="37E38A17">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评标专家应当按规定从“公共资源交易综合评标评审专家库”抽取使用。</w:t>
      </w:r>
    </w:p>
    <w:p w14:paraId="3D400174">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二十五</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黑体" w:cs="Times New Roman"/>
          <w:b w:val="0"/>
          <w:bCs w:val="0"/>
          <w:color w:val="auto"/>
          <w:kern w:val="0"/>
          <w:sz w:val="32"/>
          <w:szCs w:val="32"/>
          <w:highlight w:val="none"/>
          <w:lang w:val="en-US" w:eastAsia="zh-CN"/>
        </w:rPr>
        <w:t>评标委员会回避情形</w:t>
      </w:r>
      <w:r>
        <w:rPr>
          <w:rFonts w:hint="default" w:ascii="Times New Roman" w:hAnsi="Times New Roman" w:eastAsia="黑体"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strike w:val="0"/>
          <w:dstrike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sz w:val="32"/>
          <w:szCs w:val="40"/>
        </w:rPr>
        <w:t>评标委员会成员有下列情形之一的，应当主动提出回避。</w:t>
      </w:r>
    </w:p>
    <w:p w14:paraId="5E649A1F">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（一）投标人或者其上级主管单位、控股或者被控股单位的法定代表人、主要负责人、股东、工作人员或者其近亲属;</w:t>
      </w:r>
    </w:p>
    <w:p w14:paraId="52BE6377">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（二）投标人的离职或者退休人员，且离职或者退休时间不满3年或者担任过投标人的董事、监事；</w:t>
      </w:r>
    </w:p>
    <w:p w14:paraId="381BB425">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（三）项目主管部门的工作人员；</w:t>
      </w:r>
    </w:p>
    <w:p w14:paraId="0D5DD781">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（四）其他与招标人、投标人或者招标代理机构有利害关系，且可能影响评标活动公正性的人员；</w:t>
      </w:r>
    </w:p>
    <w:p w14:paraId="5BF1AED5">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（五）法律法规规章规定的其他情形。</w:t>
      </w:r>
    </w:p>
    <w:p w14:paraId="4DAC5D5E">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trike w:val="0"/>
          <w:dstrike w:val="0"/>
          <w:color w:val="auto"/>
          <w:kern w:val="0"/>
          <w:sz w:val="32"/>
          <w:szCs w:val="32"/>
          <w:u w:val="none"/>
        </w:rPr>
      </w:pPr>
      <w:r>
        <w:rPr>
          <w:rFonts w:hint="default" w:ascii="Times New Roman" w:hAnsi="Times New Roman" w:eastAsia="仿宋_GB2312" w:cs="Times New Roman"/>
          <w:b w:val="0"/>
          <w:bCs w:val="0"/>
          <w:color w:val="auto"/>
          <w:sz w:val="32"/>
          <w:szCs w:val="40"/>
        </w:rPr>
        <w:t>招标人应</w:t>
      </w:r>
      <w:r>
        <w:rPr>
          <w:rFonts w:hint="default" w:ascii="Times New Roman" w:hAnsi="Times New Roman" w:eastAsia="仿宋_GB2312" w:cs="Times New Roman"/>
          <w:b w:val="0"/>
          <w:bCs w:val="0"/>
          <w:color w:val="auto"/>
          <w:sz w:val="32"/>
          <w:szCs w:val="40"/>
          <w:lang w:val="en-US" w:eastAsia="zh-CN"/>
        </w:rPr>
        <w:t>当</w:t>
      </w:r>
      <w:r>
        <w:rPr>
          <w:rFonts w:hint="default" w:ascii="Times New Roman" w:hAnsi="Times New Roman" w:eastAsia="仿宋_GB2312" w:cs="Times New Roman"/>
          <w:b w:val="0"/>
          <w:bCs w:val="0"/>
          <w:color w:val="auto"/>
          <w:sz w:val="32"/>
          <w:szCs w:val="40"/>
        </w:rPr>
        <w:t>按前款规定设定回避条件，禁止以其他各种理由排斥或者限制评标专家参加评标。评标专家有前款规定情形之一的，应当主动提出回避；未提出回避的，</w:t>
      </w:r>
      <w:r>
        <w:rPr>
          <w:rFonts w:hint="default" w:ascii="Times New Roman" w:hAnsi="Times New Roman" w:eastAsia="仿宋_GB2312" w:cs="Times New Roman"/>
          <w:b w:val="0"/>
          <w:bCs w:val="0"/>
          <w:color w:val="auto"/>
          <w:sz w:val="32"/>
          <w:szCs w:val="40"/>
          <w:lang w:val="en-US" w:eastAsia="zh-CN"/>
        </w:rPr>
        <w:t>行政监督</w:t>
      </w:r>
      <w:r>
        <w:rPr>
          <w:rFonts w:hint="default" w:ascii="Times New Roman" w:hAnsi="Times New Roman" w:eastAsia="仿宋_GB2312" w:cs="Times New Roman"/>
          <w:b w:val="0"/>
          <w:bCs w:val="0"/>
          <w:color w:val="auto"/>
          <w:sz w:val="32"/>
          <w:szCs w:val="40"/>
        </w:rPr>
        <w:t>部门发现后，应当立即停止其参加评标；已完成评审的，该评标专家作出的评审结论无效。</w:t>
      </w:r>
    </w:p>
    <w:p w14:paraId="1F63C25B">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二十六</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评标</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rPr>
        <w:t>评标委员会成员应当按照招标文件规定的评标标准和方法，客观、公正地对投标文件提出评审意见。招标文件没有规定的评标标准和方法不得作为评标的依据。</w:t>
      </w:r>
    </w:p>
    <w:p w14:paraId="0BC1EBF0">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评标过程应当保密。评标委员会成员和参与评标的有关工作人员不得透露对投标文件的评审和比较、中标候选人的推荐情况以及与评标有关的其他情况。</w:t>
      </w:r>
    </w:p>
    <w:p w14:paraId="0127F9F3">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在评标过程中，存在表述不清晰、前后不一致等情形，评标委员会需要投标人对投标文件澄清或者说明的，投标人应当通过公共资源交易中心询标系统或采用书面形式澄清说明，但不得超出投标文件的范围或者改变投标文件的实质性内容。</w:t>
      </w:r>
    </w:p>
    <w:p w14:paraId="79E28281">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二十七</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中标候选人</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rPr>
        <w:t>评标完成后，评标委员会应</w:t>
      </w:r>
      <w:r>
        <w:rPr>
          <w:rFonts w:hint="default" w:ascii="Times New Roman" w:hAnsi="Times New Roman" w:eastAsia="仿宋_GB2312" w:cs="Times New Roman"/>
          <w:b w:val="0"/>
          <w:bCs w:val="0"/>
          <w:color w:val="auto"/>
          <w:sz w:val="32"/>
          <w:szCs w:val="40"/>
          <w:lang w:val="en-US" w:eastAsia="zh-CN"/>
        </w:rPr>
        <w:t>当</w:t>
      </w:r>
      <w:r>
        <w:rPr>
          <w:rFonts w:hint="default" w:ascii="Times New Roman" w:hAnsi="Times New Roman" w:eastAsia="仿宋_GB2312" w:cs="Times New Roman"/>
          <w:b w:val="0"/>
          <w:bCs w:val="0"/>
          <w:color w:val="auto"/>
          <w:sz w:val="32"/>
          <w:szCs w:val="40"/>
        </w:rPr>
        <w:t>向招标人提交书面评标报告和中标候选人名单。中标候选人应</w:t>
      </w:r>
      <w:r>
        <w:rPr>
          <w:rFonts w:hint="default" w:ascii="Times New Roman" w:hAnsi="Times New Roman" w:eastAsia="仿宋_GB2312" w:cs="Times New Roman"/>
          <w:b w:val="0"/>
          <w:bCs w:val="0"/>
          <w:color w:val="auto"/>
          <w:sz w:val="32"/>
          <w:szCs w:val="40"/>
          <w:lang w:val="en-US" w:eastAsia="zh-CN"/>
        </w:rPr>
        <w:t>当</w:t>
      </w:r>
      <w:r>
        <w:rPr>
          <w:rFonts w:hint="default" w:ascii="Times New Roman" w:hAnsi="Times New Roman" w:eastAsia="仿宋_GB2312" w:cs="Times New Roman"/>
          <w:b w:val="0"/>
          <w:bCs w:val="0"/>
          <w:color w:val="auto"/>
          <w:sz w:val="32"/>
          <w:szCs w:val="40"/>
        </w:rPr>
        <w:t>不超过3个，并标明排序。</w:t>
      </w:r>
    </w:p>
    <w:p w14:paraId="77674E6A">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rPr>
        <w:t>招标人应当自收到评标报告之日起3日内</w:t>
      </w:r>
      <w:r>
        <w:rPr>
          <w:rFonts w:hint="default" w:ascii="Times New Roman" w:hAnsi="Times New Roman" w:eastAsia="仿宋_GB2312" w:cs="Times New Roman"/>
          <w:b w:val="0"/>
          <w:bCs w:val="0"/>
          <w:color w:val="auto"/>
          <w:sz w:val="32"/>
          <w:szCs w:val="40"/>
          <w:lang w:val="en-US" w:eastAsia="zh-CN"/>
        </w:rPr>
        <w:t>公示</w:t>
      </w:r>
      <w:r>
        <w:rPr>
          <w:rFonts w:hint="default" w:ascii="Times New Roman" w:hAnsi="Times New Roman" w:eastAsia="仿宋_GB2312" w:cs="Times New Roman"/>
          <w:b w:val="0"/>
          <w:bCs w:val="0"/>
          <w:color w:val="auto"/>
          <w:sz w:val="32"/>
          <w:szCs w:val="40"/>
        </w:rPr>
        <w:t>中标候选人，公示期不得少于3日。公示内容包括：中标候选人</w:t>
      </w:r>
      <w:r>
        <w:rPr>
          <w:rFonts w:hint="default" w:ascii="Times New Roman" w:hAnsi="Times New Roman" w:eastAsia="仿宋_GB2312" w:cs="Times New Roman"/>
          <w:b w:val="0"/>
          <w:bCs w:val="0"/>
          <w:color w:val="auto"/>
          <w:sz w:val="32"/>
          <w:szCs w:val="40"/>
          <w:lang w:val="en-US" w:eastAsia="zh-CN"/>
        </w:rPr>
        <w:t>名称、资质等级、投标</w:t>
      </w:r>
      <w:r>
        <w:rPr>
          <w:rFonts w:hint="default" w:ascii="Times New Roman" w:hAnsi="Times New Roman" w:eastAsia="仿宋_GB2312" w:cs="Times New Roman"/>
          <w:b w:val="0"/>
          <w:bCs w:val="0"/>
          <w:color w:val="auto"/>
          <w:sz w:val="32"/>
          <w:szCs w:val="40"/>
        </w:rPr>
        <w:t>报价、</w:t>
      </w:r>
      <w:r>
        <w:rPr>
          <w:rFonts w:hint="default" w:ascii="Times New Roman" w:hAnsi="Times New Roman" w:eastAsia="仿宋_GB2312" w:cs="Times New Roman"/>
          <w:b w:val="0"/>
          <w:bCs w:val="0"/>
          <w:color w:val="auto"/>
          <w:sz w:val="32"/>
          <w:szCs w:val="40"/>
          <w:lang w:val="en-US" w:eastAsia="zh-CN"/>
        </w:rPr>
        <w:t>项目经理或</w:t>
      </w:r>
      <w:r>
        <w:rPr>
          <w:rFonts w:hint="default" w:ascii="Times New Roman" w:hAnsi="Times New Roman" w:eastAsia="仿宋_GB2312" w:cs="Times New Roman"/>
          <w:b w:val="0"/>
          <w:bCs w:val="0"/>
          <w:color w:val="auto"/>
          <w:sz w:val="32"/>
          <w:szCs w:val="40"/>
        </w:rPr>
        <w:t>项目负责人</w:t>
      </w:r>
      <w:r>
        <w:rPr>
          <w:rFonts w:hint="default" w:ascii="Times New Roman" w:hAnsi="Times New Roman" w:eastAsia="仿宋_GB2312" w:cs="Times New Roman"/>
          <w:b w:val="0"/>
          <w:bCs w:val="0"/>
          <w:color w:val="auto"/>
          <w:sz w:val="32"/>
          <w:szCs w:val="40"/>
          <w:lang w:val="en-US" w:eastAsia="zh-CN"/>
        </w:rPr>
        <w:t>姓名、资格等级及证书编号</w:t>
      </w:r>
      <w:r>
        <w:rPr>
          <w:rFonts w:hint="default" w:ascii="Times New Roman" w:hAnsi="Times New Roman" w:eastAsia="仿宋_GB2312" w:cs="Times New Roman"/>
          <w:b w:val="0"/>
          <w:bCs w:val="0"/>
          <w:color w:val="auto"/>
          <w:sz w:val="32"/>
          <w:szCs w:val="40"/>
        </w:rPr>
        <w:t>、技术</w:t>
      </w:r>
      <w:r>
        <w:rPr>
          <w:rFonts w:hint="default" w:ascii="Times New Roman" w:hAnsi="Times New Roman" w:eastAsia="仿宋_GB2312" w:cs="Times New Roman"/>
          <w:b w:val="0"/>
          <w:bCs w:val="0"/>
          <w:color w:val="auto"/>
          <w:sz w:val="32"/>
          <w:szCs w:val="40"/>
          <w:lang w:val="en-US" w:eastAsia="zh-CN"/>
        </w:rPr>
        <w:t>标</w:t>
      </w:r>
      <w:r>
        <w:rPr>
          <w:rFonts w:hint="default" w:ascii="Times New Roman" w:hAnsi="Times New Roman" w:eastAsia="仿宋_GB2312" w:cs="Times New Roman"/>
          <w:b w:val="0"/>
          <w:bCs w:val="0"/>
          <w:color w:val="auto"/>
          <w:sz w:val="32"/>
          <w:szCs w:val="40"/>
        </w:rPr>
        <w:t>得分、耕地质量</w:t>
      </w:r>
      <w:r>
        <w:rPr>
          <w:rFonts w:hint="default" w:ascii="Times New Roman" w:hAnsi="Times New Roman" w:eastAsia="仿宋_GB2312" w:cs="Times New Roman"/>
          <w:b w:val="0"/>
          <w:bCs w:val="0"/>
          <w:color w:val="auto"/>
          <w:sz w:val="32"/>
          <w:szCs w:val="40"/>
          <w:lang w:val="en-US" w:eastAsia="zh-CN"/>
        </w:rPr>
        <w:t>等级</w:t>
      </w:r>
      <w:r>
        <w:rPr>
          <w:rFonts w:hint="default" w:ascii="Times New Roman" w:hAnsi="Times New Roman" w:eastAsia="仿宋_GB2312" w:cs="Times New Roman"/>
          <w:b w:val="0"/>
          <w:bCs w:val="0"/>
          <w:color w:val="auto"/>
          <w:sz w:val="32"/>
          <w:szCs w:val="40"/>
        </w:rPr>
        <w:t>提升目标、异议</w:t>
      </w:r>
      <w:r>
        <w:rPr>
          <w:rFonts w:hint="default" w:ascii="Times New Roman" w:hAnsi="Times New Roman" w:eastAsia="仿宋_GB2312" w:cs="Times New Roman"/>
          <w:b w:val="0"/>
          <w:bCs w:val="0"/>
          <w:color w:val="auto"/>
          <w:sz w:val="32"/>
          <w:szCs w:val="40"/>
          <w:lang w:val="en-US" w:eastAsia="zh-CN"/>
        </w:rPr>
        <w:t>投诉</w:t>
      </w:r>
      <w:r>
        <w:rPr>
          <w:rFonts w:hint="default" w:ascii="Times New Roman" w:hAnsi="Times New Roman" w:eastAsia="仿宋_GB2312" w:cs="Times New Roman"/>
          <w:b w:val="0"/>
          <w:bCs w:val="0"/>
          <w:color w:val="auto"/>
          <w:sz w:val="32"/>
          <w:szCs w:val="40"/>
        </w:rPr>
        <w:t>渠道</w:t>
      </w:r>
      <w:r>
        <w:rPr>
          <w:rFonts w:hint="default" w:ascii="Times New Roman" w:hAnsi="Times New Roman" w:eastAsia="仿宋_GB2312" w:cs="Times New Roman"/>
          <w:b w:val="0"/>
          <w:bCs w:val="0"/>
          <w:color w:val="auto"/>
          <w:sz w:val="32"/>
          <w:szCs w:val="40"/>
          <w:lang w:val="en-US" w:eastAsia="zh-CN"/>
        </w:rPr>
        <w:t>等</w:t>
      </w:r>
      <w:r>
        <w:rPr>
          <w:rFonts w:hint="default" w:ascii="Times New Roman" w:hAnsi="Times New Roman" w:eastAsia="仿宋_GB2312" w:cs="Times New Roman"/>
          <w:b w:val="0"/>
          <w:bCs w:val="0"/>
          <w:color w:val="auto"/>
          <w:sz w:val="32"/>
          <w:szCs w:val="40"/>
        </w:rPr>
        <w:t>。</w:t>
      </w:r>
    </w:p>
    <w:p w14:paraId="082A288B">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trike/>
          <w:dstrike w:val="0"/>
          <w:color w:val="auto"/>
          <w:kern w:val="0"/>
          <w:sz w:val="32"/>
          <w:szCs w:val="32"/>
          <w:u w:val="singl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二十八</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中标人的确定</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依法必须招标的</w:t>
      </w:r>
      <w:r>
        <w:rPr>
          <w:rFonts w:hint="default" w:ascii="Times New Roman" w:hAnsi="Times New Roman" w:eastAsia="仿宋_GB2312" w:cs="Times New Roman"/>
          <w:b w:val="0"/>
          <w:bCs w:val="0"/>
          <w:color w:val="auto"/>
          <w:kern w:val="0"/>
          <w:sz w:val="32"/>
          <w:szCs w:val="32"/>
          <w:lang w:val="en-US" w:eastAsia="zh-CN"/>
        </w:rPr>
        <w:t>高标准农田建设</w:t>
      </w:r>
      <w:r>
        <w:rPr>
          <w:rFonts w:hint="default" w:ascii="Times New Roman" w:hAnsi="Times New Roman" w:eastAsia="仿宋_GB2312" w:cs="Times New Roman"/>
          <w:b w:val="0"/>
          <w:bCs w:val="0"/>
          <w:color w:val="auto"/>
          <w:kern w:val="0"/>
          <w:sz w:val="32"/>
          <w:szCs w:val="32"/>
        </w:rPr>
        <w:t>项目，招标人</w:t>
      </w:r>
      <w:r>
        <w:rPr>
          <w:rFonts w:hint="default" w:ascii="Times New Roman" w:hAnsi="Times New Roman" w:eastAsia="仿宋_GB2312" w:cs="Times New Roman"/>
          <w:b w:val="0"/>
          <w:bCs w:val="0"/>
          <w:color w:val="auto"/>
          <w:kern w:val="0"/>
          <w:sz w:val="32"/>
          <w:szCs w:val="32"/>
          <w:lang w:eastAsia="zh-CN"/>
        </w:rPr>
        <w:t>应</w:t>
      </w:r>
      <w:r>
        <w:rPr>
          <w:rFonts w:hint="default" w:ascii="Times New Roman" w:hAnsi="Times New Roman" w:eastAsia="仿宋_GB2312" w:cs="Times New Roman"/>
          <w:b w:val="0"/>
          <w:bCs w:val="0"/>
          <w:color w:val="auto"/>
          <w:kern w:val="0"/>
          <w:sz w:val="32"/>
          <w:szCs w:val="32"/>
          <w:lang w:val="en-US" w:eastAsia="zh-CN"/>
        </w:rPr>
        <w:t>当</w:t>
      </w:r>
      <w:r>
        <w:rPr>
          <w:rFonts w:hint="default" w:ascii="Times New Roman" w:hAnsi="Times New Roman" w:eastAsia="仿宋_GB2312" w:cs="Times New Roman"/>
          <w:b w:val="0"/>
          <w:bCs w:val="0"/>
          <w:color w:val="auto"/>
          <w:kern w:val="0"/>
          <w:sz w:val="32"/>
          <w:szCs w:val="32"/>
        </w:rPr>
        <w:t>确定排名第一的中标候选人为中标人</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也可以授权评标委员会确定排名第一的中标候选人为中标人</w:t>
      </w:r>
      <w:r>
        <w:rPr>
          <w:rFonts w:hint="default" w:ascii="Times New Roman" w:hAnsi="Times New Roman" w:eastAsia="仿宋_GB2312" w:cs="Times New Roman"/>
          <w:b w:val="0"/>
          <w:bCs w:val="0"/>
          <w:color w:val="auto"/>
          <w:kern w:val="0"/>
          <w:sz w:val="32"/>
          <w:szCs w:val="32"/>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E6DD14F">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二十九</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合同签订与公开</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40"/>
          <w:lang w:eastAsia="zh-CN"/>
        </w:rPr>
        <w:t>招标人和中标人</w:t>
      </w:r>
      <w:r>
        <w:rPr>
          <w:rFonts w:hint="default" w:ascii="Times New Roman" w:hAnsi="Times New Roman" w:eastAsia="仿宋_GB2312" w:cs="Times New Roman"/>
          <w:b w:val="0"/>
          <w:bCs w:val="0"/>
          <w:color w:val="auto"/>
          <w:sz w:val="32"/>
          <w:szCs w:val="40"/>
        </w:rPr>
        <w:t>应当在投标有效期内并在中标通知书发出之日起30日内</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按照招标文件和中标人的投标文件订立书面合同</w:t>
      </w:r>
      <w:r>
        <w:rPr>
          <w:rFonts w:hint="default" w:ascii="Times New Roman" w:hAnsi="Times New Roman" w:eastAsia="仿宋_GB2312" w:cs="Times New Roman"/>
          <w:b w:val="0"/>
          <w:bCs w:val="0"/>
          <w:color w:val="auto"/>
          <w:sz w:val="32"/>
          <w:szCs w:val="40"/>
          <w:lang w:eastAsia="zh-CN"/>
        </w:rPr>
        <w:t>。招标人和中标人不得再行订立背离合同实质性内容的其他协议</w:t>
      </w:r>
      <w:r>
        <w:rPr>
          <w:rFonts w:hint="default" w:ascii="Times New Roman" w:hAnsi="Times New Roman" w:eastAsia="仿宋_GB2312" w:cs="Times New Roman"/>
          <w:b w:val="0"/>
          <w:bCs w:val="0"/>
          <w:color w:val="auto"/>
          <w:sz w:val="32"/>
          <w:szCs w:val="40"/>
        </w:rPr>
        <w:t>。</w:t>
      </w:r>
    </w:p>
    <w:p w14:paraId="6187CB04">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rPr>
      </w:pPr>
      <w:r>
        <w:rPr>
          <w:rFonts w:hint="default" w:ascii="Times New Roman" w:hAnsi="Times New Roman" w:eastAsia="仿宋_GB2312" w:cs="Times New Roman"/>
          <w:b w:val="0"/>
          <w:bCs w:val="0"/>
          <w:color w:val="auto"/>
          <w:sz w:val="32"/>
          <w:szCs w:val="40"/>
          <w:lang w:val="en-US" w:eastAsia="zh-CN"/>
        </w:rPr>
        <w:t>合同签订前，中标人应当提供不超过</w:t>
      </w:r>
      <w:r>
        <w:rPr>
          <w:rFonts w:hint="default" w:ascii="Times New Roman" w:hAnsi="Times New Roman" w:eastAsia="仿宋_GB2312" w:cs="Times New Roman"/>
          <w:b w:val="0"/>
          <w:bCs w:val="0"/>
          <w:color w:val="auto"/>
          <w:sz w:val="32"/>
          <w:szCs w:val="40"/>
        </w:rPr>
        <w:t>合同金额</w:t>
      </w:r>
      <w:r>
        <w:rPr>
          <w:rFonts w:hint="default" w:ascii="Times New Roman" w:hAnsi="Times New Roman" w:eastAsia="仿宋_GB2312" w:cs="Times New Roman"/>
          <w:b w:val="0"/>
          <w:bCs w:val="0"/>
          <w:color w:val="auto"/>
          <w:sz w:val="32"/>
          <w:szCs w:val="40"/>
          <w:lang w:val="en-US" w:eastAsia="zh-CN"/>
        </w:rPr>
        <w:t>10</w:t>
      </w:r>
      <w:r>
        <w:rPr>
          <w:rFonts w:hint="default" w:ascii="Times New Roman" w:hAnsi="Times New Roman" w:eastAsia="仿宋_GB2312" w:cs="Times New Roman"/>
          <w:b w:val="0"/>
          <w:bCs w:val="0"/>
          <w:color w:val="auto"/>
          <w:sz w:val="32"/>
          <w:szCs w:val="40"/>
        </w:rPr>
        <w:t>%履约保证金</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lang w:val="en-US" w:eastAsia="zh-CN"/>
        </w:rPr>
        <w:t>履约保证金形式可以采用</w:t>
      </w:r>
      <w:r>
        <w:rPr>
          <w:rFonts w:hint="default" w:ascii="Times New Roman" w:hAnsi="Times New Roman" w:eastAsia="仿宋_GB2312" w:cs="Times New Roman"/>
          <w:b w:val="0"/>
          <w:bCs w:val="0"/>
          <w:color w:val="auto"/>
          <w:sz w:val="32"/>
          <w:szCs w:val="40"/>
          <w:lang w:eastAsia="zh-CN"/>
        </w:rPr>
        <w:t>现金、支票、保函等其中任何一种形式递交</w:t>
      </w:r>
      <w:r>
        <w:rPr>
          <w:rFonts w:hint="default" w:ascii="Times New Roman" w:hAnsi="Times New Roman" w:eastAsia="仿宋_GB2312" w:cs="Times New Roman"/>
          <w:b w:val="0"/>
          <w:bCs w:val="0"/>
          <w:color w:val="auto"/>
          <w:sz w:val="32"/>
          <w:szCs w:val="40"/>
          <w:lang w:val="en-US" w:eastAsia="zh-CN"/>
        </w:rPr>
        <w:t>。优先采用电子保函。</w:t>
      </w:r>
    </w:p>
    <w:p w14:paraId="0B07872E">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仿宋_GB2312" w:cs="Times New Roman"/>
          <w:b w:val="0"/>
          <w:bCs w:val="0"/>
          <w:color w:val="auto"/>
          <w:sz w:val="32"/>
          <w:szCs w:val="40"/>
          <w:lang w:val="en-US" w:eastAsia="zh-CN"/>
        </w:rPr>
        <w:t>中标人对建设的高标准农田建设项目管护期限为10年，管护期内定期巡查，处理问题，培训使用者，参与管护计划制定，协助档案更新，承担因施工引发的矛盾责任。</w:t>
      </w:r>
    </w:p>
    <w:p w14:paraId="4677055B">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eastAsia="zh-CN"/>
        </w:rPr>
      </w:pPr>
      <w:r>
        <w:rPr>
          <w:rFonts w:hint="default" w:ascii="Times New Roman" w:hAnsi="Times New Roman" w:eastAsia="仿宋_GB2312" w:cs="Times New Roman"/>
          <w:b w:val="0"/>
          <w:bCs w:val="0"/>
          <w:color w:val="auto"/>
          <w:sz w:val="32"/>
          <w:szCs w:val="40"/>
          <w:lang w:val="en-US" w:eastAsia="zh-CN"/>
        </w:rPr>
        <w:t>合同</w:t>
      </w:r>
      <w:r>
        <w:rPr>
          <w:rFonts w:hint="default" w:ascii="Times New Roman" w:hAnsi="Times New Roman" w:eastAsia="仿宋_GB2312" w:cs="Times New Roman"/>
          <w:b w:val="0"/>
          <w:bCs w:val="0"/>
          <w:color w:val="auto"/>
          <w:sz w:val="32"/>
          <w:szCs w:val="40"/>
        </w:rPr>
        <w:t>签订后，招标人</w:t>
      </w:r>
      <w:r>
        <w:rPr>
          <w:rFonts w:hint="default" w:ascii="Times New Roman" w:hAnsi="Times New Roman" w:eastAsia="仿宋_GB2312" w:cs="Times New Roman"/>
          <w:b w:val="0"/>
          <w:bCs w:val="0"/>
          <w:color w:val="auto"/>
          <w:sz w:val="32"/>
          <w:szCs w:val="40"/>
          <w:lang w:val="en-US" w:eastAsia="zh-CN"/>
        </w:rPr>
        <w:t>应当及时</w:t>
      </w:r>
      <w:r>
        <w:rPr>
          <w:rFonts w:hint="default" w:ascii="Times New Roman" w:hAnsi="Times New Roman" w:eastAsia="仿宋_GB2312" w:cs="Times New Roman"/>
          <w:b w:val="0"/>
          <w:bCs w:val="0"/>
          <w:color w:val="auto"/>
          <w:sz w:val="32"/>
          <w:szCs w:val="40"/>
        </w:rPr>
        <w:t>在</w:t>
      </w:r>
      <w:r>
        <w:rPr>
          <w:rFonts w:hint="default" w:ascii="Times New Roman" w:hAnsi="Times New Roman" w:eastAsia="仿宋_GB2312" w:cs="Times New Roman"/>
          <w:b w:val="0"/>
          <w:bCs w:val="0"/>
          <w:color w:val="auto"/>
          <w:sz w:val="32"/>
          <w:szCs w:val="40"/>
          <w:lang w:val="en-US" w:eastAsia="zh-CN"/>
        </w:rPr>
        <w:t>吉林省公共资源交易公共服务平台</w:t>
      </w:r>
      <w:r>
        <w:rPr>
          <w:rFonts w:hint="default" w:ascii="Times New Roman" w:hAnsi="Times New Roman" w:eastAsia="仿宋_GB2312" w:cs="Times New Roman"/>
          <w:b w:val="0"/>
          <w:bCs w:val="0"/>
          <w:color w:val="auto"/>
          <w:sz w:val="32"/>
          <w:szCs w:val="40"/>
        </w:rPr>
        <w:t>公开合同主要条款（标的、金额、工期、质量目标、项目经理、耕地质量等级提升指标、农民工工资专用账户</w:t>
      </w:r>
      <w:r>
        <w:rPr>
          <w:rFonts w:hint="default" w:ascii="Times New Roman" w:hAnsi="Times New Roman" w:eastAsia="仿宋_GB2312" w:cs="Times New Roman"/>
          <w:b w:val="0"/>
          <w:bCs w:val="0"/>
          <w:color w:val="auto"/>
          <w:sz w:val="32"/>
          <w:szCs w:val="40"/>
          <w:lang w:val="en-US" w:eastAsia="zh-CN"/>
        </w:rPr>
        <w:t>信息等</w:t>
      </w:r>
      <w:r>
        <w:rPr>
          <w:rFonts w:hint="default" w:ascii="Times New Roman" w:hAnsi="Times New Roman" w:eastAsia="仿宋_GB2312" w:cs="Times New Roman"/>
          <w:b w:val="0"/>
          <w:bCs w:val="0"/>
          <w:color w:val="auto"/>
          <w:sz w:val="32"/>
          <w:szCs w:val="40"/>
        </w:rPr>
        <w:t>）</w:t>
      </w:r>
      <w:r>
        <w:rPr>
          <w:rFonts w:hint="default" w:ascii="Times New Roman" w:hAnsi="Times New Roman" w:eastAsia="仿宋_GB2312" w:cs="Times New Roman"/>
          <w:b w:val="0"/>
          <w:bCs w:val="0"/>
          <w:color w:val="auto"/>
          <w:sz w:val="32"/>
          <w:szCs w:val="40"/>
          <w:lang w:eastAsia="zh-CN"/>
        </w:rPr>
        <w:t>。</w:t>
      </w:r>
    </w:p>
    <w:p w14:paraId="490F1B83">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rPr>
        <w:t>招标人应当自确定中标人之日起15日内，向</w:t>
      </w:r>
      <w:r>
        <w:rPr>
          <w:rFonts w:hint="default" w:ascii="Times New Roman" w:hAnsi="Times New Roman" w:eastAsia="仿宋_GB2312" w:cs="Times New Roman"/>
          <w:b w:val="0"/>
          <w:bCs w:val="0"/>
          <w:color w:val="auto"/>
          <w:sz w:val="32"/>
          <w:szCs w:val="40"/>
          <w:lang w:val="en-US" w:eastAsia="zh-CN"/>
        </w:rPr>
        <w:t>市（州）农业农村</w:t>
      </w:r>
      <w:r>
        <w:rPr>
          <w:rFonts w:hint="default" w:ascii="Times New Roman" w:hAnsi="Times New Roman" w:eastAsia="仿宋_GB2312" w:cs="Times New Roman"/>
          <w:b w:val="0"/>
          <w:bCs w:val="0"/>
          <w:color w:val="auto"/>
          <w:sz w:val="32"/>
          <w:szCs w:val="40"/>
        </w:rPr>
        <w:t>部门提交招标投标情况的书面报告。书面报告内容应当包括招标公告、招标文件、中标人的投标文件、评标评审报告、中标公示、中标通知书等。</w:t>
      </w:r>
    </w:p>
    <w:p w14:paraId="034270E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三十</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投诉处理</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snapToGrid/>
          <w:color w:val="auto"/>
          <w:kern w:val="2"/>
          <w:sz w:val="32"/>
          <w:szCs w:val="40"/>
          <w:lang w:val="en-US" w:eastAsia="zh-CN" w:bidi="ar-SA"/>
        </w:rPr>
        <w:t>投标人或者其他利害关系人认为招标投标活动不符合法律、行政法规规定的，可以自知道或者应当知道之日起10日内向市（州）农业农村部门投诉。超过投诉时效的，不予受理。投诉应当有明确的请求和必要的证明材料。市（州）农业农村部门应当自收到投诉之日起3个工作日内决定是否受理投诉，并自受理投诉之日起30个工作日内作出书面处理决定并答复投诉人。需要检验、检测、鉴定、专家评审的，所需时间不计算在内。</w:t>
      </w:r>
    </w:p>
    <w:p w14:paraId="0D128886">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仿宋_GB2312" w:cs="Times New Roman"/>
          <w:b w:val="0"/>
          <w:bCs w:val="0"/>
          <w:snapToGrid/>
          <w:color w:val="auto"/>
          <w:kern w:val="2"/>
          <w:sz w:val="32"/>
          <w:szCs w:val="40"/>
          <w:lang w:val="en-US" w:eastAsia="zh-CN" w:bidi="ar-SA"/>
        </w:rPr>
        <w:t>就资格预审文件和招标文件、开标及评标结果等事项投诉的，应当先向招标人提出异议。</w:t>
      </w:r>
    </w:p>
    <w:p w14:paraId="62C9095C">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u w:val="none"/>
          <w:lang w:eastAsia="zh-CN"/>
        </w:rPr>
      </w:pPr>
    </w:p>
    <w:p w14:paraId="732CD81F">
      <w:pPr>
        <w:keepNext w:val="0"/>
        <w:keepLines w:val="0"/>
        <w:pageBreakBefore w:val="0"/>
        <w:widowControl/>
        <w:numPr>
          <w:ilvl w:val="0"/>
          <w:numId w:val="0"/>
        </w:numPr>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 xml:space="preserve">第五章 </w:t>
      </w:r>
      <w:r>
        <w:rPr>
          <w:rFonts w:hint="eastAsia" w:ascii="Times New Roman" w:hAnsi="Times New Roman" w:eastAsia="黑体" w:cs="Times New Roman"/>
          <w:b w:val="0"/>
          <w:bCs w:val="0"/>
          <w:color w:val="auto"/>
          <w:kern w:val="2"/>
          <w:sz w:val="32"/>
          <w:szCs w:val="32"/>
          <w:lang w:val="en-US" w:eastAsia="zh-CN" w:bidi="ar-SA"/>
        </w:rPr>
        <w:t xml:space="preserve"> </w:t>
      </w:r>
      <w:r>
        <w:rPr>
          <w:rFonts w:hint="default" w:ascii="Times New Roman" w:hAnsi="Times New Roman" w:eastAsia="黑体" w:cs="Times New Roman"/>
          <w:b w:val="0"/>
          <w:bCs w:val="0"/>
          <w:color w:val="auto"/>
          <w:sz w:val="32"/>
          <w:szCs w:val="32"/>
          <w:lang w:val="en-US" w:eastAsia="zh-CN"/>
        </w:rPr>
        <w:t>监督管理</w:t>
      </w:r>
    </w:p>
    <w:p w14:paraId="305F03DB">
      <w:pPr>
        <w:keepNext w:val="0"/>
        <w:keepLines w:val="0"/>
        <w:pageBreakBefore w:val="0"/>
        <w:widowControl/>
        <w:numPr>
          <w:ilvl w:val="0"/>
          <w:numId w:val="0"/>
        </w:numPr>
        <w:kinsoku/>
        <w:wordWrap/>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14:paraId="5EFD7AA8">
      <w:pPr>
        <w:keepNext w:val="0"/>
        <w:keepLines w:val="0"/>
        <w:pageBreakBefore w:val="0"/>
        <w:widowControl/>
        <w:numPr>
          <w:ilvl w:val="0"/>
          <w:numId w:val="0"/>
        </w:numPr>
        <w:kinsoku/>
        <w:wordWrap/>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sz w:val="32"/>
          <w:szCs w:val="32"/>
          <w:lang w:val="en-US" w:eastAsia="zh-CN"/>
        </w:rPr>
        <w:t>第三十一条 【日常监管】</w:t>
      </w:r>
      <w:r>
        <w:rPr>
          <w:rFonts w:hint="default" w:ascii="Times New Roman" w:hAnsi="Times New Roman" w:eastAsia="仿宋_GB2312" w:cs="Times New Roman"/>
          <w:b w:val="0"/>
          <w:bCs w:val="0"/>
          <w:color w:val="auto"/>
          <w:sz w:val="32"/>
          <w:szCs w:val="40"/>
        </w:rPr>
        <w:t>各级</w:t>
      </w:r>
      <w:r>
        <w:rPr>
          <w:rFonts w:hint="default" w:ascii="Times New Roman" w:hAnsi="Times New Roman" w:eastAsia="仿宋_GB2312" w:cs="Times New Roman"/>
          <w:b w:val="0"/>
          <w:bCs w:val="0"/>
          <w:color w:val="auto"/>
          <w:sz w:val="32"/>
          <w:szCs w:val="40"/>
          <w:lang w:val="en-US" w:eastAsia="zh-CN"/>
        </w:rPr>
        <w:t>农业农村</w:t>
      </w:r>
      <w:r>
        <w:rPr>
          <w:rFonts w:hint="default" w:ascii="Times New Roman" w:hAnsi="Times New Roman" w:eastAsia="仿宋_GB2312" w:cs="Times New Roman"/>
          <w:b w:val="0"/>
          <w:bCs w:val="0"/>
          <w:color w:val="auto"/>
          <w:sz w:val="32"/>
          <w:szCs w:val="40"/>
        </w:rPr>
        <w:t>部门</w:t>
      </w:r>
      <w:r>
        <w:rPr>
          <w:rFonts w:hint="default" w:ascii="Times New Roman" w:hAnsi="Times New Roman" w:eastAsia="仿宋_GB2312" w:cs="Times New Roman"/>
          <w:b w:val="0"/>
          <w:bCs w:val="0"/>
          <w:color w:val="auto"/>
          <w:sz w:val="32"/>
          <w:szCs w:val="40"/>
          <w:lang w:val="en-US" w:eastAsia="zh-CN"/>
        </w:rPr>
        <w:t>应当</w:t>
      </w:r>
      <w:r>
        <w:rPr>
          <w:rFonts w:hint="default" w:ascii="Times New Roman" w:hAnsi="Times New Roman" w:eastAsia="仿宋_GB2312" w:cs="Times New Roman"/>
          <w:b w:val="0"/>
          <w:bCs w:val="0"/>
          <w:color w:val="auto"/>
          <w:sz w:val="32"/>
          <w:szCs w:val="40"/>
        </w:rPr>
        <w:t>按照职责对</w:t>
      </w:r>
      <w:r>
        <w:rPr>
          <w:rFonts w:hint="default" w:ascii="Times New Roman" w:hAnsi="Times New Roman" w:eastAsia="仿宋_GB2312" w:cs="Times New Roman"/>
          <w:b w:val="0"/>
          <w:bCs w:val="0"/>
          <w:color w:val="auto"/>
          <w:sz w:val="32"/>
          <w:szCs w:val="40"/>
          <w:lang w:val="en-US" w:eastAsia="zh-CN"/>
        </w:rPr>
        <w:t>本行政区域内的高标准</w:t>
      </w:r>
      <w:r>
        <w:rPr>
          <w:rFonts w:hint="default" w:ascii="Times New Roman" w:hAnsi="Times New Roman" w:eastAsia="仿宋_GB2312" w:cs="Times New Roman"/>
          <w:b w:val="0"/>
          <w:bCs w:val="0"/>
          <w:color w:val="auto"/>
          <w:sz w:val="32"/>
          <w:szCs w:val="40"/>
        </w:rPr>
        <w:t>农田建设项目招标投标活动实施行政监督，切实加强招标投标活动的事中事后监管</w:t>
      </w:r>
      <w:r>
        <w:rPr>
          <w:rFonts w:hint="default" w:ascii="Times New Roman" w:hAnsi="Times New Roman" w:eastAsia="仿宋_GB2312" w:cs="Times New Roman"/>
          <w:b w:val="0"/>
          <w:bCs w:val="0"/>
          <w:color w:val="auto"/>
          <w:sz w:val="32"/>
          <w:szCs w:val="40"/>
          <w:lang w:eastAsia="zh-CN"/>
        </w:rPr>
        <w:t>。</w:t>
      </w:r>
    </w:p>
    <w:p w14:paraId="0CECB1A0">
      <w:pPr>
        <w:keepNext w:val="0"/>
        <w:keepLines w:val="0"/>
        <w:pageBreakBefore w:val="0"/>
        <w:widowControl/>
        <w:numPr>
          <w:ilvl w:val="0"/>
          <w:numId w:val="0"/>
        </w:numPr>
        <w:kinsoku/>
        <w:wordWrap/>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40"/>
        </w:rPr>
      </w:pPr>
      <w:r>
        <w:rPr>
          <w:rFonts w:hint="default" w:ascii="Times New Roman" w:hAnsi="Times New Roman" w:eastAsia="黑体" w:cs="Times New Roman"/>
          <w:b w:val="0"/>
          <w:bCs w:val="0"/>
          <w:color w:val="auto"/>
          <w:sz w:val="32"/>
          <w:szCs w:val="32"/>
          <w:lang w:val="en-US" w:eastAsia="zh-CN"/>
        </w:rPr>
        <w:t>第三十二条 【大数据分析预警】</w:t>
      </w:r>
      <w:r>
        <w:rPr>
          <w:rFonts w:hint="default" w:ascii="Times New Roman" w:hAnsi="Times New Roman" w:eastAsia="仿宋_GB2312" w:cs="Times New Roman"/>
          <w:b w:val="0"/>
          <w:bCs w:val="0"/>
          <w:color w:val="auto"/>
          <w:sz w:val="32"/>
          <w:szCs w:val="40"/>
        </w:rPr>
        <w:t>各级</w:t>
      </w:r>
      <w:r>
        <w:rPr>
          <w:rFonts w:hint="default" w:ascii="Times New Roman" w:hAnsi="Times New Roman" w:eastAsia="仿宋_GB2312" w:cs="Times New Roman"/>
          <w:b w:val="0"/>
          <w:bCs w:val="0"/>
          <w:color w:val="auto"/>
          <w:sz w:val="32"/>
          <w:szCs w:val="40"/>
          <w:lang w:val="en-US" w:eastAsia="zh-CN"/>
        </w:rPr>
        <w:t>农业农村</w:t>
      </w:r>
      <w:r>
        <w:rPr>
          <w:rFonts w:hint="default" w:ascii="Times New Roman" w:hAnsi="Times New Roman" w:eastAsia="仿宋_GB2312" w:cs="Times New Roman"/>
          <w:b w:val="0"/>
          <w:bCs w:val="0"/>
          <w:color w:val="auto"/>
          <w:sz w:val="32"/>
          <w:szCs w:val="40"/>
        </w:rPr>
        <w:t>部门</w:t>
      </w:r>
      <w:r>
        <w:rPr>
          <w:rFonts w:hint="default" w:ascii="Times New Roman" w:hAnsi="Times New Roman" w:eastAsia="仿宋_GB2312" w:cs="Times New Roman"/>
          <w:b w:val="0"/>
          <w:bCs w:val="0"/>
          <w:color w:val="auto"/>
          <w:sz w:val="32"/>
          <w:szCs w:val="40"/>
          <w:lang w:val="en-US" w:eastAsia="zh-CN"/>
        </w:rPr>
        <w:t>应当</w:t>
      </w:r>
      <w:r>
        <w:rPr>
          <w:rFonts w:hint="default" w:ascii="Times New Roman" w:hAnsi="Times New Roman" w:eastAsia="仿宋_GB2312" w:cs="Times New Roman"/>
          <w:b w:val="0"/>
          <w:bCs w:val="0"/>
          <w:color w:val="auto"/>
          <w:sz w:val="32"/>
          <w:szCs w:val="40"/>
        </w:rPr>
        <w:t>利用省级公共资源交易监管平台的数据分析功能，对高标准农田</w:t>
      </w:r>
      <w:r>
        <w:rPr>
          <w:rFonts w:hint="default" w:ascii="Times New Roman" w:hAnsi="Times New Roman" w:eastAsia="仿宋_GB2312" w:cs="Times New Roman"/>
          <w:b w:val="0"/>
          <w:bCs w:val="0"/>
          <w:color w:val="auto"/>
          <w:sz w:val="32"/>
          <w:szCs w:val="40"/>
          <w:lang w:val="en-US" w:eastAsia="zh-CN"/>
        </w:rPr>
        <w:t>建设</w:t>
      </w:r>
      <w:r>
        <w:rPr>
          <w:rFonts w:hint="default" w:ascii="Times New Roman" w:hAnsi="Times New Roman" w:eastAsia="仿宋_GB2312" w:cs="Times New Roman"/>
          <w:b w:val="0"/>
          <w:bCs w:val="0"/>
          <w:color w:val="auto"/>
          <w:sz w:val="32"/>
          <w:szCs w:val="40"/>
        </w:rPr>
        <w:t>项目投标数据进行实时监测。重点监测</w:t>
      </w:r>
      <w:r>
        <w:rPr>
          <w:rFonts w:hint="default" w:ascii="Times New Roman" w:hAnsi="Times New Roman" w:eastAsia="仿宋_GB2312" w:cs="Times New Roman"/>
          <w:b w:val="0"/>
          <w:bCs w:val="0"/>
          <w:color w:val="auto"/>
          <w:sz w:val="32"/>
          <w:szCs w:val="40"/>
          <w:lang w:val="en-US" w:eastAsia="zh-CN"/>
        </w:rPr>
        <w:t>不同投标单位预留联系电话一致、使用</w:t>
      </w:r>
      <w:r>
        <w:rPr>
          <w:rFonts w:hint="default" w:ascii="Times New Roman" w:hAnsi="Times New Roman" w:eastAsia="仿宋_GB2312" w:cs="Times New Roman"/>
          <w:b w:val="0"/>
          <w:bCs w:val="0"/>
          <w:color w:val="auto"/>
          <w:sz w:val="32"/>
          <w:szCs w:val="40"/>
        </w:rPr>
        <w:t>同一IP地址或MAC地址投标、投标报价规律性差异、不同投标文件内容异常一致、投标保证金来源关联、关联企业集中投标等围标串标高风险特征，及时发出预警</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rPr>
        <w:t>发现违反法律法规规定的，应当责令相关当事人及时纠正，必要时可以暂停招标投标活动及合同履行，并依法依规处理。</w:t>
      </w:r>
    </w:p>
    <w:p w14:paraId="6A6A2D23">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p>
    <w:p w14:paraId="3C311158">
      <w:pPr>
        <w:keepNext w:val="0"/>
        <w:keepLines w:val="0"/>
        <w:pageBreakBefore w:val="0"/>
        <w:widowControl/>
        <w:kinsoku/>
        <w:wordWrap/>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rPr>
        <w:t xml:space="preserve">章 </w:t>
      </w:r>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附</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则</w:t>
      </w:r>
    </w:p>
    <w:p w14:paraId="38F9DF5C">
      <w:pPr>
        <w:keepNext w:val="0"/>
        <w:keepLines w:val="0"/>
        <w:pageBreakBefore w:val="0"/>
        <w:widowControl/>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p>
    <w:p w14:paraId="59633A5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黑体" w:cs="Times New Roman"/>
          <w:b w:val="0"/>
          <w:bCs w:val="0"/>
          <w:color w:val="auto"/>
          <w:kern w:val="0"/>
          <w:sz w:val="32"/>
          <w:szCs w:val="32"/>
        </w:rPr>
        <w:t>第三十</w:t>
      </w:r>
      <w:r>
        <w:rPr>
          <w:rFonts w:hint="default" w:ascii="Times New Roman" w:hAnsi="Times New Roman" w:eastAsia="黑体" w:cs="Times New Roman"/>
          <w:b w:val="0"/>
          <w:bCs w:val="0"/>
          <w:color w:val="auto"/>
          <w:kern w:val="0"/>
          <w:sz w:val="32"/>
          <w:szCs w:val="32"/>
          <w:lang w:val="en-US" w:eastAsia="zh-CN"/>
        </w:rPr>
        <w:t>三</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rPr>
        <w:t>办法</w:t>
      </w:r>
      <w:r>
        <w:rPr>
          <w:rFonts w:hint="default" w:ascii="Times New Roman" w:hAnsi="Times New Roman" w:eastAsia="黑体" w:cs="Times New Roman"/>
          <w:b w:val="0"/>
          <w:bCs w:val="0"/>
          <w:color w:val="auto"/>
          <w:kern w:val="0"/>
          <w:sz w:val="32"/>
          <w:szCs w:val="32"/>
        </w:rPr>
        <w:t>解释</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snapToGrid/>
          <w:color w:val="auto"/>
          <w:kern w:val="2"/>
          <w:sz w:val="32"/>
          <w:szCs w:val="40"/>
          <w:lang w:val="en-US" w:eastAsia="zh-CN" w:bidi="ar-SA"/>
        </w:rPr>
        <w:t>本办法由省农业农村厅负责解释。</w:t>
      </w:r>
    </w:p>
    <w:p w14:paraId="10B6B43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黑体" w:cs="Times New Roman"/>
          <w:b w:val="0"/>
          <w:bCs w:val="0"/>
          <w:color w:val="auto"/>
          <w:kern w:val="0"/>
          <w:sz w:val="32"/>
          <w:szCs w:val="32"/>
        </w:rPr>
        <w:t>第三十</w:t>
      </w:r>
      <w:r>
        <w:rPr>
          <w:rFonts w:hint="default" w:ascii="Times New Roman" w:hAnsi="Times New Roman" w:eastAsia="黑体" w:cs="Times New Roman"/>
          <w:b w:val="0"/>
          <w:bCs w:val="0"/>
          <w:color w:val="auto"/>
          <w:kern w:val="0"/>
          <w:sz w:val="32"/>
          <w:szCs w:val="32"/>
          <w:lang w:val="en-US" w:eastAsia="zh-CN"/>
        </w:rPr>
        <w:t>四</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rPr>
        <w:t>施行日期</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snapToGrid/>
          <w:color w:val="auto"/>
          <w:kern w:val="2"/>
          <w:sz w:val="32"/>
          <w:szCs w:val="40"/>
          <w:lang w:val="en-US" w:eastAsia="zh-CN" w:bidi="ar-SA"/>
        </w:rPr>
        <w:t>本办法自印发之日起施行，试行期2年。此前有关规定与本办法不一致的，以本办法为准。</w:t>
      </w:r>
    </w:p>
    <w:p w14:paraId="439FDEA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val="en-US" w:eastAsia="zh-CN"/>
        </w:rPr>
        <w:t>三十五</w:t>
      </w:r>
      <w:r>
        <w:rPr>
          <w:rFonts w:hint="default" w:ascii="Times New Roman" w:hAnsi="Times New Roman" w:eastAsia="黑体" w:cs="Times New Roman"/>
          <w:b w:val="0"/>
          <w:bCs w:val="0"/>
          <w:color w:val="auto"/>
          <w:kern w:val="0"/>
          <w:sz w:val="32"/>
          <w:szCs w:val="32"/>
        </w:rPr>
        <w:t xml:space="preserve">条 </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rPr>
        <w:t>动态调整</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仿宋_GB2312" w:cs="Times New Roman"/>
          <w:b w:val="0"/>
          <w:bCs w:val="0"/>
          <w:snapToGrid/>
          <w:color w:val="auto"/>
          <w:kern w:val="2"/>
          <w:sz w:val="32"/>
          <w:szCs w:val="40"/>
          <w:lang w:val="en-US" w:eastAsia="zh-CN" w:bidi="ar-SA"/>
        </w:rPr>
        <w:t>本办法施行期间，国家出台新规定的，从其规定并及时修订本办法。</w:t>
      </w:r>
    </w:p>
    <w:sectPr>
      <w:pgSz w:w="11906" w:h="16838"/>
      <w:pgMar w:top="1440" w:right="1800" w:bottom="9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C90421-2B9C-47A8-B7ED-B072E6AAA9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FF7F0B4B-744C-46D5-B3C2-4662ABE6DBFA}"/>
  </w:font>
  <w:font w:name="华文宋体">
    <w:panose1 w:val="02010600040101010101"/>
    <w:charset w:val="86"/>
    <w:family w:val="auto"/>
    <w:pitch w:val="default"/>
    <w:sig w:usb0="00000287" w:usb1="080F0000" w:usb2="00000000" w:usb3="00000000" w:csb0="0004009F" w:csb1="DFD70000"/>
    <w:embedRegular r:id="rId3" w:fontKey="{1C042A4F-5371-435F-A900-56947D532399}"/>
  </w:font>
  <w:font w:name="仿宋">
    <w:panose1 w:val="02010609060101010101"/>
    <w:charset w:val="86"/>
    <w:family w:val="modern"/>
    <w:pitch w:val="default"/>
    <w:sig w:usb0="800002BF" w:usb1="38CF7CFA" w:usb2="00000016" w:usb3="00000000" w:csb0="00040001" w:csb1="00000000"/>
    <w:embedRegular r:id="rId4" w:fontKey="{0F867FD0-3283-4D25-9936-0604E7502CF3}"/>
  </w:font>
  <w:font w:name="仿宋_GB2312">
    <w:panose1 w:val="02010609030101010101"/>
    <w:charset w:val="86"/>
    <w:family w:val="auto"/>
    <w:pitch w:val="default"/>
    <w:sig w:usb0="00000001" w:usb1="080E0000" w:usb2="00000000" w:usb3="00000000" w:csb0="00040000" w:csb1="00000000"/>
    <w:embedRegular r:id="rId5" w:fontKey="{F661C76F-4B6E-4A12-9EAF-2BCFF7DEFE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zIxNTBmY2Q2ZGNhMzZlYzVjOWI1Y2M5OThjNDIifQ=="/>
  </w:docVars>
  <w:rsids>
    <w:rsidRoot w:val="00172A27"/>
    <w:rsid w:val="00034C66"/>
    <w:rsid w:val="000C3B7E"/>
    <w:rsid w:val="000D3416"/>
    <w:rsid w:val="0011760F"/>
    <w:rsid w:val="00153C70"/>
    <w:rsid w:val="002B2CED"/>
    <w:rsid w:val="003073D0"/>
    <w:rsid w:val="0045081F"/>
    <w:rsid w:val="005C0886"/>
    <w:rsid w:val="00697C5C"/>
    <w:rsid w:val="00843C9F"/>
    <w:rsid w:val="008D5A54"/>
    <w:rsid w:val="009044D7"/>
    <w:rsid w:val="00936A81"/>
    <w:rsid w:val="009E7436"/>
    <w:rsid w:val="00DF14BB"/>
    <w:rsid w:val="00F90386"/>
    <w:rsid w:val="00FF3E2A"/>
    <w:rsid w:val="01001B66"/>
    <w:rsid w:val="015D32E3"/>
    <w:rsid w:val="017F3AA6"/>
    <w:rsid w:val="019048DF"/>
    <w:rsid w:val="01E41926"/>
    <w:rsid w:val="020C66EF"/>
    <w:rsid w:val="020D2519"/>
    <w:rsid w:val="022A1118"/>
    <w:rsid w:val="02303D9B"/>
    <w:rsid w:val="023043CB"/>
    <w:rsid w:val="023F0464"/>
    <w:rsid w:val="02522B81"/>
    <w:rsid w:val="02523BF9"/>
    <w:rsid w:val="025A529E"/>
    <w:rsid w:val="02737C85"/>
    <w:rsid w:val="02B5111B"/>
    <w:rsid w:val="02BA3F8E"/>
    <w:rsid w:val="02C31544"/>
    <w:rsid w:val="02C44E0D"/>
    <w:rsid w:val="02DD3BBA"/>
    <w:rsid w:val="03175B37"/>
    <w:rsid w:val="03393F93"/>
    <w:rsid w:val="0385634A"/>
    <w:rsid w:val="03A54850"/>
    <w:rsid w:val="03E86C02"/>
    <w:rsid w:val="04427495"/>
    <w:rsid w:val="044A2418"/>
    <w:rsid w:val="04640655"/>
    <w:rsid w:val="04670C6B"/>
    <w:rsid w:val="046B3792"/>
    <w:rsid w:val="046E7D44"/>
    <w:rsid w:val="0475494B"/>
    <w:rsid w:val="04AE6738"/>
    <w:rsid w:val="04BA3FA6"/>
    <w:rsid w:val="04C95D42"/>
    <w:rsid w:val="04E27D64"/>
    <w:rsid w:val="051A15A8"/>
    <w:rsid w:val="052A0790"/>
    <w:rsid w:val="052D4B75"/>
    <w:rsid w:val="05573D16"/>
    <w:rsid w:val="056F62C1"/>
    <w:rsid w:val="05947C79"/>
    <w:rsid w:val="05AF57AD"/>
    <w:rsid w:val="05BE78F1"/>
    <w:rsid w:val="05D435B9"/>
    <w:rsid w:val="05EC2D3E"/>
    <w:rsid w:val="060D4472"/>
    <w:rsid w:val="062005AC"/>
    <w:rsid w:val="06585F98"/>
    <w:rsid w:val="066466EB"/>
    <w:rsid w:val="066F5090"/>
    <w:rsid w:val="06892EAD"/>
    <w:rsid w:val="06911C3B"/>
    <w:rsid w:val="069A035E"/>
    <w:rsid w:val="06AC1E40"/>
    <w:rsid w:val="06DD1E44"/>
    <w:rsid w:val="06E415DA"/>
    <w:rsid w:val="06E426D9"/>
    <w:rsid w:val="06EA2676"/>
    <w:rsid w:val="06EC22A2"/>
    <w:rsid w:val="0700541D"/>
    <w:rsid w:val="07023F74"/>
    <w:rsid w:val="070E2AFA"/>
    <w:rsid w:val="071874D5"/>
    <w:rsid w:val="07322345"/>
    <w:rsid w:val="073A6E8C"/>
    <w:rsid w:val="074A238C"/>
    <w:rsid w:val="076B5857"/>
    <w:rsid w:val="0777244E"/>
    <w:rsid w:val="07961D7F"/>
    <w:rsid w:val="07D2665E"/>
    <w:rsid w:val="07DE071F"/>
    <w:rsid w:val="07E35D35"/>
    <w:rsid w:val="07E86EA8"/>
    <w:rsid w:val="07F615C4"/>
    <w:rsid w:val="084561CB"/>
    <w:rsid w:val="08502EAB"/>
    <w:rsid w:val="087C361B"/>
    <w:rsid w:val="08AF0C18"/>
    <w:rsid w:val="08F31FA8"/>
    <w:rsid w:val="08F443EB"/>
    <w:rsid w:val="091A6930"/>
    <w:rsid w:val="091C0BCB"/>
    <w:rsid w:val="093E4C85"/>
    <w:rsid w:val="094B38F4"/>
    <w:rsid w:val="097B740A"/>
    <w:rsid w:val="09B36186"/>
    <w:rsid w:val="09CD727E"/>
    <w:rsid w:val="0A05536C"/>
    <w:rsid w:val="0A19629E"/>
    <w:rsid w:val="0A1F6374"/>
    <w:rsid w:val="0A370C10"/>
    <w:rsid w:val="0A3C329E"/>
    <w:rsid w:val="0AA34316"/>
    <w:rsid w:val="0B114233"/>
    <w:rsid w:val="0B1526A9"/>
    <w:rsid w:val="0B1D2390"/>
    <w:rsid w:val="0B6055F4"/>
    <w:rsid w:val="0BAF4C42"/>
    <w:rsid w:val="0BD31FDF"/>
    <w:rsid w:val="0BE831B5"/>
    <w:rsid w:val="0C1072F2"/>
    <w:rsid w:val="0C2663FF"/>
    <w:rsid w:val="0C32020B"/>
    <w:rsid w:val="0C4F3863"/>
    <w:rsid w:val="0C963376"/>
    <w:rsid w:val="0CC46135"/>
    <w:rsid w:val="0CC960ED"/>
    <w:rsid w:val="0CDD5F03"/>
    <w:rsid w:val="0CEB68B0"/>
    <w:rsid w:val="0CF81622"/>
    <w:rsid w:val="0D005780"/>
    <w:rsid w:val="0D576818"/>
    <w:rsid w:val="0D5F7C0C"/>
    <w:rsid w:val="0D622DE1"/>
    <w:rsid w:val="0D7C256C"/>
    <w:rsid w:val="0D827973"/>
    <w:rsid w:val="0D860EC5"/>
    <w:rsid w:val="0D937B94"/>
    <w:rsid w:val="0D98311E"/>
    <w:rsid w:val="0DB15C85"/>
    <w:rsid w:val="0DB22432"/>
    <w:rsid w:val="0DCE08EE"/>
    <w:rsid w:val="0DD2616E"/>
    <w:rsid w:val="0DDA1988"/>
    <w:rsid w:val="0E1D53EF"/>
    <w:rsid w:val="0E237B62"/>
    <w:rsid w:val="0E2F75DE"/>
    <w:rsid w:val="0E8D69FB"/>
    <w:rsid w:val="0EA16002"/>
    <w:rsid w:val="0EB04AC2"/>
    <w:rsid w:val="0EBB474D"/>
    <w:rsid w:val="0ED2440E"/>
    <w:rsid w:val="0EFA4090"/>
    <w:rsid w:val="0F182565"/>
    <w:rsid w:val="0F461BB7"/>
    <w:rsid w:val="0F7C0340"/>
    <w:rsid w:val="0F8F693E"/>
    <w:rsid w:val="0FB07A16"/>
    <w:rsid w:val="100A6B86"/>
    <w:rsid w:val="1019082D"/>
    <w:rsid w:val="10216D20"/>
    <w:rsid w:val="102A2753"/>
    <w:rsid w:val="10365771"/>
    <w:rsid w:val="10875C9F"/>
    <w:rsid w:val="10955374"/>
    <w:rsid w:val="10D10E21"/>
    <w:rsid w:val="10E31E92"/>
    <w:rsid w:val="10F44B0F"/>
    <w:rsid w:val="10FF2AC7"/>
    <w:rsid w:val="112434D8"/>
    <w:rsid w:val="115349B0"/>
    <w:rsid w:val="1164141F"/>
    <w:rsid w:val="11761615"/>
    <w:rsid w:val="11773341"/>
    <w:rsid w:val="117C4D78"/>
    <w:rsid w:val="118D733C"/>
    <w:rsid w:val="11AD12AA"/>
    <w:rsid w:val="11B9106F"/>
    <w:rsid w:val="11CF5042"/>
    <w:rsid w:val="11D85FCC"/>
    <w:rsid w:val="120A31DF"/>
    <w:rsid w:val="121D602C"/>
    <w:rsid w:val="12217B86"/>
    <w:rsid w:val="12461229"/>
    <w:rsid w:val="12543AB7"/>
    <w:rsid w:val="125D0CD0"/>
    <w:rsid w:val="12671431"/>
    <w:rsid w:val="12840917"/>
    <w:rsid w:val="128B4EFC"/>
    <w:rsid w:val="12932AA7"/>
    <w:rsid w:val="12A10CC7"/>
    <w:rsid w:val="12A77256"/>
    <w:rsid w:val="12BA2760"/>
    <w:rsid w:val="12C10A21"/>
    <w:rsid w:val="12C81DAF"/>
    <w:rsid w:val="133B406A"/>
    <w:rsid w:val="136917E4"/>
    <w:rsid w:val="13963C5C"/>
    <w:rsid w:val="13A62514"/>
    <w:rsid w:val="13D313F8"/>
    <w:rsid w:val="13EB3FA7"/>
    <w:rsid w:val="14134B87"/>
    <w:rsid w:val="14147A2B"/>
    <w:rsid w:val="1431041C"/>
    <w:rsid w:val="145E0C1D"/>
    <w:rsid w:val="149E030D"/>
    <w:rsid w:val="149E54BE"/>
    <w:rsid w:val="14A405FA"/>
    <w:rsid w:val="14CA1FE3"/>
    <w:rsid w:val="14CF5755"/>
    <w:rsid w:val="14D94748"/>
    <w:rsid w:val="15235DF3"/>
    <w:rsid w:val="15307D47"/>
    <w:rsid w:val="15442F2D"/>
    <w:rsid w:val="15FC399F"/>
    <w:rsid w:val="160E6673"/>
    <w:rsid w:val="16A50D85"/>
    <w:rsid w:val="16CC1E75"/>
    <w:rsid w:val="16D131F4"/>
    <w:rsid w:val="172D0D7B"/>
    <w:rsid w:val="175135C1"/>
    <w:rsid w:val="177456FA"/>
    <w:rsid w:val="17AE2A08"/>
    <w:rsid w:val="17C31582"/>
    <w:rsid w:val="17C52D61"/>
    <w:rsid w:val="17C93B29"/>
    <w:rsid w:val="17CF3BE0"/>
    <w:rsid w:val="17DF339A"/>
    <w:rsid w:val="18091E88"/>
    <w:rsid w:val="183D3240"/>
    <w:rsid w:val="1873050E"/>
    <w:rsid w:val="1890485C"/>
    <w:rsid w:val="18A575F7"/>
    <w:rsid w:val="18B32D7A"/>
    <w:rsid w:val="18B95BD8"/>
    <w:rsid w:val="18D30901"/>
    <w:rsid w:val="192D2533"/>
    <w:rsid w:val="195B5ABF"/>
    <w:rsid w:val="1966229F"/>
    <w:rsid w:val="197965AC"/>
    <w:rsid w:val="19B35A21"/>
    <w:rsid w:val="1A1A7931"/>
    <w:rsid w:val="1A243C1D"/>
    <w:rsid w:val="1A2B4EAE"/>
    <w:rsid w:val="1A654388"/>
    <w:rsid w:val="1A7E4C32"/>
    <w:rsid w:val="1A8F3C95"/>
    <w:rsid w:val="1AA93733"/>
    <w:rsid w:val="1AB87CEE"/>
    <w:rsid w:val="1AC03D49"/>
    <w:rsid w:val="1AD9308E"/>
    <w:rsid w:val="1AF45F58"/>
    <w:rsid w:val="1B0D0825"/>
    <w:rsid w:val="1B154000"/>
    <w:rsid w:val="1B157E2D"/>
    <w:rsid w:val="1B20658C"/>
    <w:rsid w:val="1B341A3A"/>
    <w:rsid w:val="1B3F1316"/>
    <w:rsid w:val="1B4B3B95"/>
    <w:rsid w:val="1B7B7BD3"/>
    <w:rsid w:val="1B7C7BDB"/>
    <w:rsid w:val="1B862808"/>
    <w:rsid w:val="1B971F55"/>
    <w:rsid w:val="1B9E0F57"/>
    <w:rsid w:val="1BB92BDD"/>
    <w:rsid w:val="1BE0016A"/>
    <w:rsid w:val="1BE81A43"/>
    <w:rsid w:val="1BF64BBD"/>
    <w:rsid w:val="1C1C33CA"/>
    <w:rsid w:val="1C296AE9"/>
    <w:rsid w:val="1C4562E6"/>
    <w:rsid w:val="1C550B58"/>
    <w:rsid w:val="1C6E7E6B"/>
    <w:rsid w:val="1C760ACE"/>
    <w:rsid w:val="1C9123A9"/>
    <w:rsid w:val="1CA47198"/>
    <w:rsid w:val="1CDC4DD5"/>
    <w:rsid w:val="1D104882"/>
    <w:rsid w:val="1D81336E"/>
    <w:rsid w:val="1D8D60CF"/>
    <w:rsid w:val="1DA06387"/>
    <w:rsid w:val="1DCD0BC2"/>
    <w:rsid w:val="1DDE4B7D"/>
    <w:rsid w:val="1E027AA1"/>
    <w:rsid w:val="1E064B3B"/>
    <w:rsid w:val="1E523CFB"/>
    <w:rsid w:val="1EB53B30"/>
    <w:rsid w:val="1ECF2059"/>
    <w:rsid w:val="1EDE6770"/>
    <w:rsid w:val="1EE75CB3"/>
    <w:rsid w:val="1EF02DBA"/>
    <w:rsid w:val="1F3709E9"/>
    <w:rsid w:val="1F505606"/>
    <w:rsid w:val="1F8B663F"/>
    <w:rsid w:val="1F9E084A"/>
    <w:rsid w:val="1FDD268F"/>
    <w:rsid w:val="1FE53897"/>
    <w:rsid w:val="203B5E14"/>
    <w:rsid w:val="203C6CAE"/>
    <w:rsid w:val="203D1303"/>
    <w:rsid w:val="20531852"/>
    <w:rsid w:val="208A1A08"/>
    <w:rsid w:val="20903B62"/>
    <w:rsid w:val="2091095B"/>
    <w:rsid w:val="20925945"/>
    <w:rsid w:val="20A1609D"/>
    <w:rsid w:val="20F052F3"/>
    <w:rsid w:val="20FC3C98"/>
    <w:rsid w:val="212B1BB0"/>
    <w:rsid w:val="21301539"/>
    <w:rsid w:val="21812BEF"/>
    <w:rsid w:val="21837F15"/>
    <w:rsid w:val="21902632"/>
    <w:rsid w:val="21A659B2"/>
    <w:rsid w:val="21D86594"/>
    <w:rsid w:val="222C3DA8"/>
    <w:rsid w:val="22405E06"/>
    <w:rsid w:val="22903F40"/>
    <w:rsid w:val="22B669FB"/>
    <w:rsid w:val="22BF31CF"/>
    <w:rsid w:val="22E212BD"/>
    <w:rsid w:val="22F02216"/>
    <w:rsid w:val="231F5A1C"/>
    <w:rsid w:val="237F64BA"/>
    <w:rsid w:val="238C6E29"/>
    <w:rsid w:val="239C3D95"/>
    <w:rsid w:val="23EA2C31"/>
    <w:rsid w:val="244A4405"/>
    <w:rsid w:val="244D4A80"/>
    <w:rsid w:val="249E485B"/>
    <w:rsid w:val="24AA201D"/>
    <w:rsid w:val="24BF3BA8"/>
    <w:rsid w:val="24CA4117"/>
    <w:rsid w:val="24D215AA"/>
    <w:rsid w:val="25066446"/>
    <w:rsid w:val="250D5954"/>
    <w:rsid w:val="25201F1F"/>
    <w:rsid w:val="252512E3"/>
    <w:rsid w:val="253D487F"/>
    <w:rsid w:val="253F05F7"/>
    <w:rsid w:val="256A2504"/>
    <w:rsid w:val="259124D5"/>
    <w:rsid w:val="259376B9"/>
    <w:rsid w:val="25BD37FF"/>
    <w:rsid w:val="26040EF9"/>
    <w:rsid w:val="261A696E"/>
    <w:rsid w:val="267701FE"/>
    <w:rsid w:val="268564DD"/>
    <w:rsid w:val="269818D7"/>
    <w:rsid w:val="26AA1AA0"/>
    <w:rsid w:val="26B1141E"/>
    <w:rsid w:val="27111CE3"/>
    <w:rsid w:val="271F27F9"/>
    <w:rsid w:val="273C2EE6"/>
    <w:rsid w:val="274572A5"/>
    <w:rsid w:val="275B6BC0"/>
    <w:rsid w:val="277420AE"/>
    <w:rsid w:val="27791D0D"/>
    <w:rsid w:val="27DD5696"/>
    <w:rsid w:val="27DF3EE1"/>
    <w:rsid w:val="27E52C69"/>
    <w:rsid w:val="28047CF0"/>
    <w:rsid w:val="280B7430"/>
    <w:rsid w:val="2820363B"/>
    <w:rsid w:val="28247630"/>
    <w:rsid w:val="28357CA9"/>
    <w:rsid w:val="288527C5"/>
    <w:rsid w:val="28A655E6"/>
    <w:rsid w:val="28C3509B"/>
    <w:rsid w:val="28DE741C"/>
    <w:rsid w:val="2903193C"/>
    <w:rsid w:val="2912753F"/>
    <w:rsid w:val="294A4EB5"/>
    <w:rsid w:val="295757E3"/>
    <w:rsid w:val="29752839"/>
    <w:rsid w:val="29B45034"/>
    <w:rsid w:val="29B9024C"/>
    <w:rsid w:val="29F23E8A"/>
    <w:rsid w:val="29F825B0"/>
    <w:rsid w:val="29F85218"/>
    <w:rsid w:val="2A0906BD"/>
    <w:rsid w:val="2A3A138D"/>
    <w:rsid w:val="2A677DE2"/>
    <w:rsid w:val="2A81520E"/>
    <w:rsid w:val="2A885296"/>
    <w:rsid w:val="2AAA2063"/>
    <w:rsid w:val="2ADC2444"/>
    <w:rsid w:val="2AF94848"/>
    <w:rsid w:val="2AFA50E7"/>
    <w:rsid w:val="2B1E7F79"/>
    <w:rsid w:val="2B4E4A8E"/>
    <w:rsid w:val="2B5A74F0"/>
    <w:rsid w:val="2B62641A"/>
    <w:rsid w:val="2B655C5C"/>
    <w:rsid w:val="2B6B1748"/>
    <w:rsid w:val="2B88437A"/>
    <w:rsid w:val="2BA74800"/>
    <w:rsid w:val="2BB449EB"/>
    <w:rsid w:val="2BBC720D"/>
    <w:rsid w:val="2BCC20A6"/>
    <w:rsid w:val="2BE147CD"/>
    <w:rsid w:val="2BEA3703"/>
    <w:rsid w:val="2C0C0B07"/>
    <w:rsid w:val="2C574478"/>
    <w:rsid w:val="2C593CBF"/>
    <w:rsid w:val="2C600B60"/>
    <w:rsid w:val="2C74066F"/>
    <w:rsid w:val="2C84105C"/>
    <w:rsid w:val="2C854D6A"/>
    <w:rsid w:val="2C901738"/>
    <w:rsid w:val="2CA23B4D"/>
    <w:rsid w:val="2CAC6A25"/>
    <w:rsid w:val="2CE455E0"/>
    <w:rsid w:val="2D0451F9"/>
    <w:rsid w:val="2D14044A"/>
    <w:rsid w:val="2D1D5BA2"/>
    <w:rsid w:val="2D5C161A"/>
    <w:rsid w:val="2D5E5392"/>
    <w:rsid w:val="2DAA682A"/>
    <w:rsid w:val="2DB15E0A"/>
    <w:rsid w:val="2DE03138"/>
    <w:rsid w:val="2DF06932"/>
    <w:rsid w:val="2DF6381D"/>
    <w:rsid w:val="2E011A78"/>
    <w:rsid w:val="2E1931C6"/>
    <w:rsid w:val="2E1D524D"/>
    <w:rsid w:val="2E235D2B"/>
    <w:rsid w:val="2E2B2A06"/>
    <w:rsid w:val="2E385F67"/>
    <w:rsid w:val="2E3F6F72"/>
    <w:rsid w:val="2E4722CA"/>
    <w:rsid w:val="2ED537D6"/>
    <w:rsid w:val="2EDE49DD"/>
    <w:rsid w:val="2EEB0C26"/>
    <w:rsid w:val="2EF97477"/>
    <w:rsid w:val="2EFC4E63"/>
    <w:rsid w:val="2F617156"/>
    <w:rsid w:val="2F8F782A"/>
    <w:rsid w:val="2FA63021"/>
    <w:rsid w:val="300E30A0"/>
    <w:rsid w:val="30154081"/>
    <w:rsid w:val="30234671"/>
    <w:rsid w:val="30426165"/>
    <w:rsid w:val="304C1E1A"/>
    <w:rsid w:val="304F36B8"/>
    <w:rsid w:val="30515682"/>
    <w:rsid w:val="306C7DC6"/>
    <w:rsid w:val="30722B71"/>
    <w:rsid w:val="30736557"/>
    <w:rsid w:val="308A16F1"/>
    <w:rsid w:val="30A8029B"/>
    <w:rsid w:val="30AE6DA3"/>
    <w:rsid w:val="30CE255C"/>
    <w:rsid w:val="30FE5B1D"/>
    <w:rsid w:val="313B79D6"/>
    <w:rsid w:val="318E7E63"/>
    <w:rsid w:val="31B274B4"/>
    <w:rsid w:val="31B31137"/>
    <w:rsid w:val="31F3626B"/>
    <w:rsid w:val="3201186B"/>
    <w:rsid w:val="32056665"/>
    <w:rsid w:val="323112C7"/>
    <w:rsid w:val="324F1302"/>
    <w:rsid w:val="326E3016"/>
    <w:rsid w:val="328C3175"/>
    <w:rsid w:val="32A93A25"/>
    <w:rsid w:val="32FF3174"/>
    <w:rsid w:val="330E7C2A"/>
    <w:rsid w:val="33114C55"/>
    <w:rsid w:val="3320203F"/>
    <w:rsid w:val="333077D1"/>
    <w:rsid w:val="33460DA3"/>
    <w:rsid w:val="33615BDC"/>
    <w:rsid w:val="336B0809"/>
    <w:rsid w:val="33897B6E"/>
    <w:rsid w:val="33A54FFD"/>
    <w:rsid w:val="33BB353F"/>
    <w:rsid w:val="33D571B6"/>
    <w:rsid w:val="33F94067"/>
    <w:rsid w:val="33FA125E"/>
    <w:rsid w:val="33FF48DB"/>
    <w:rsid w:val="34075C54"/>
    <w:rsid w:val="340B15B6"/>
    <w:rsid w:val="341C1B03"/>
    <w:rsid w:val="342E1F62"/>
    <w:rsid w:val="343B642D"/>
    <w:rsid w:val="34510E95"/>
    <w:rsid w:val="34572B3B"/>
    <w:rsid w:val="34637DC3"/>
    <w:rsid w:val="34AC023F"/>
    <w:rsid w:val="34B90AE8"/>
    <w:rsid w:val="34C5219B"/>
    <w:rsid w:val="34E46AC5"/>
    <w:rsid w:val="35017E15"/>
    <w:rsid w:val="35092088"/>
    <w:rsid w:val="35194CEC"/>
    <w:rsid w:val="35334B7A"/>
    <w:rsid w:val="35440A6C"/>
    <w:rsid w:val="3555517F"/>
    <w:rsid w:val="35803815"/>
    <w:rsid w:val="35835695"/>
    <w:rsid w:val="3592062B"/>
    <w:rsid w:val="35CB7AC9"/>
    <w:rsid w:val="35E0130A"/>
    <w:rsid w:val="35EB7ECD"/>
    <w:rsid w:val="361A2073"/>
    <w:rsid w:val="36343134"/>
    <w:rsid w:val="363C7778"/>
    <w:rsid w:val="365E3F1B"/>
    <w:rsid w:val="366C6D72"/>
    <w:rsid w:val="3698148D"/>
    <w:rsid w:val="36AC3746"/>
    <w:rsid w:val="36C61A50"/>
    <w:rsid w:val="36C87D79"/>
    <w:rsid w:val="36CC2719"/>
    <w:rsid w:val="36CE5337"/>
    <w:rsid w:val="36E57632"/>
    <w:rsid w:val="36F80606"/>
    <w:rsid w:val="37013199"/>
    <w:rsid w:val="37165CDA"/>
    <w:rsid w:val="371C22E3"/>
    <w:rsid w:val="373E35FE"/>
    <w:rsid w:val="374D6BA3"/>
    <w:rsid w:val="37555A58"/>
    <w:rsid w:val="37A4253C"/>
    <w:rsid w:val="37B04B3C"/>
    <w:rsid w:val="37BB7682"/>
    <w:rsid w:val="37FF632D"/>
    <w:rsid w:val="38161052"/>
    <w:rsid w:val="38D942D1"/>
    <w:rsid w:val="38E30E42"/>
    <w:rsid w:val="38EE50B2"/>
    <w:rsid w:val="38FF5DE7"/>
    <w:rsid w:val="39044B3D"/>
    <w:rsid w:val="395A3893"/>
    <w:rsid w:val="396706E4"/>
    <w:rsid w:val="396B54A9"/>
    <w:rsid w:val="398F242F"/>
    <w:rsid w:val="39B527E6"/>
    <w:rsid w:val="39FB6CFD"/>
    <w:rsid w:val="3A027E6E"/>
    <w:rsid w:val="3A257582"/>
    <w:rsid w:val="3A430DC5"/>
    <w:rsid w:val="3A59585F"/>
    <w:rsid w:val="3A67294A"/>
    <w:rsid w:val="3A9C5CEB"/>
    <w:rsid w:val="3AA377B3"/>
    <w:rsid w:val="3AA9398F"/>
    <w:rsid w:val="3AB30274"/>
    <w:rsid w:val="3AEC222F"/>
    <w:rsid w:val="3AFF7A2B"/>
    <w:rsid w:val="3B073BC8"/>
    <w:rsid w:val="3B094318"/>
    <w:rsid w:val="3B135AA1"/>
    <w:rsid w:val="3B1B48C3"/>
    <w:rsid w:val="3B455DE4"/>
    <w:rsid w:val="3B677246"/>
    <w:rsid w:val="3B812768"/>
    <w:rsid w:val="3BC14A6F"/>
    <w:rsid w:val="3BF40D2C"/>
    <w:rsid w:val="3C08753D"/>
    <w:rsid w:val="3C5753BF"/>
    <w:rsid w:val="3C7C3A87"/>
    <w:rsid w:val="3C860462"/>
    <w:rsid w:val="3CA11E14"/>
    <w:rsid w:val="3CBA2DD2"/>
    <w:rsid w:val="3CBD0327"/>
    <w:rsid w:val="3D583BAC"/>
    <w:rsid w:val="3D5B045A"/>
    <w:rsid w:val="3D6469F5"/>
    <w:rsid w:val="3D8960AD"/>
    <w:rsid w:val="3DA30DDA"/>
    <w:rsid w:val="3DAB702F"/>
    <w:rsid w:val="3DEE4511"/>
    <w:rsid w:val="3DFE16DD"/>
    <w:rsid w:val="3E0D0E3B"/>
    <w:rsid w:val="3E112313"/>
    <w:rsid w:val="3E3F6B1A"/>
    <w:rsid w:val="3E432AAE"/>
    <w:rsid w:val="3E7363F0"/>
    <w:rsid w:val="3E86719B"/>
    <w:rsid w:val="3E927592"/>
    <w:rsid w:val="3E976E68"/>
    <w:rsid w:val="3EAD617A"/>
    <w:rsid w:val="3EEF22EE"/>
    <w:rsid w:val="3EEF2D03"/>
    <w:rsid w:val="3F196860"/>
    <w:rsid w:val="3F254B64"/>
    <w:rsid w:val="3F360145"/>
    <w:rsid w:val="3F446ADE"/>
    <w:rsid w:val="3F4A39C9"/>
    <w:rsid w:val="3F5B47A0"/>
    <w:rsid w:val="3F850697"/>
    <w:rsid w:val="3FCD7432"/>
    <w:rsid w:val="3FD50795"/>
    <w:rsid w:val="3FD85C86"/>
    <w:rsid w:val="3FE919A4"/>
    <w:rsid w:val="3FEF5AE6"/>
    <w:rsid w:val="40151FE5"/>
    <w:rsid w:val="401E7074"/>
    <w:rsid w:val="40300E10"/>
    <w:rsid w:val="4061721C"/>
    <w:rsid w:val="408C343C"/>
    <w:rsid w:val="40C7080B"/>
    <w:rsid w:val="40E02836"/>
    <w:rsid w:val="40F7467D"/>
    <w:rsid w:val="40FA12E5"/>
    <w:rsid w:val="410127AD"/>
    <w:rsid w:val="411077A8"/>
    <w:rsid w:val="41155995"/>
    <w:rsid w:val="415154E2"/>
    <w:rsid w:val="415316D4"/>
    <w:rsid w:val="41596145"/>
    <w:rsid w:val="417575B0"/>
    <w:rsid w:val="41B643F6"/>
    <w:rsid w:val="41C02322"/>
    <w:rsid w:val="41CC4B1E"/>
    <w:rsid w:val="41D7745E"/>
    <w:rsid w:val="41EF14D0"/>
    <w:rsid w:val="41F557D6"/>
    <w:rsid w:val="42036DC7"/>
    <w:rsid w:val="420460B1"/>
    <w:rsid w:val="420F2F06"/>
    <w:rsid w:val="42495E5D"/>
    <w:rsid w:val="42725710"/>
    <w:rsid w:val="42990EB0"/>
    <w:rsid w:val="42C051B3"/>
    <w:rsid w:val="42CA47BA"/>
    <w:rsid w:val="42CF4D94"/>
    <w:rsid w:val="42D8613A"/>
    <w:rsid w:val="42E13E98"/>
    <w:rsid w:val="430B346F"/>
    <w:rsid w:val="43904487"/>
    <w:rsid w:val="43915ACA"/>
    <w:rsid w:val="43A22025"/>
    <w:rsid w:val="43A86F10"/>
    <w:rsid w:val="43C04259"/>
    <w:rsid w:val="43FC1B0E"/>
    <w:rsid w:val="4401655A"/>
    <w:rsid w:val="4404552F"/>
    <w:rsid w:val="44356BF7"/>
    <w:rsid w:val="44462572"/>
    <w:rsid w:val="444A2F9A"/>
    <w:rsid w:val="447119F7"/>
    <w:rsid w:val="4484172B"/>
    <w:rsid w:val="449215F9"/>
    <w:rsid w:val="44A27536"/>
    <w:rsid w:val="44C0516D"/>
    <w:rsid w:val="44DF4D9E"/>
    <w:rsid w:val="450A57BB"/>
    <w:rsid w:val="450B1E4C"/>
    <w:rsid w:val="45286F05"/>
    <w:rsid w:val="454D7106"/>
    <w:rsid w:val="45633A36"/>
    <w:rsid w:val="45675371"/>
    <w:rsid w:val="45763769"/>
    <w:rsid w:val="45A63456"/>
    <w:rsid w:val="45D51691"/>
    <w:rsid w:val="45DB4E57"/>
    <w:rsid w:val="45DD3BC2"/>
    <w:rsid w:val="45E6171D"/>
    <w:rsid w:val="45EC21FE"/>
    <w:rsid w:val="45EF7078"/>
    <w:rsid w:val="46081EE8"/>
    <w:rsid w:val="460A5900"/>
    <w:rsid w:val="460C19D8"/>
    <w:rsid w:val="46413279"/>
    <w:rsid w:val="46427AD7"/>
    <w:rsid w:val="464E0242"/>
    <w:rsid w:val="46810B28"/>
    <w:rsid w:val="468C0D6B"/>
    <w:rsid w:val="468D6D18"/>
    <w:rsid w:val="46963997"/>
    <w:rsid w:val="46CE1383"/>
    <w:rsid w:val="471F398D"/>
    <w:rsid w:val="4720656D"/>
    <w:rsid w:val="47433201"/>
    <w:rsid w:val="47462CC7"/>
    <w:rsid w:val="47631B78"/>
    <w:rsid w:val="476D64A6"/>
    <w:rsid w:val="477809B0"/>
    <w:rsid w:val="47896A30"/>
    <w:rsid w:val="47AF4D11"/>
    <w:rsid w:val="47B440D5"/>
    <w:rsid w:val="47C50446"/>
    <w:rsid w:val="481209FB"/>
    <w:rsid w:val="4813679C"/>
    <w:rsid w:val="482A0307"/>
    <w:rsid w:val="484110B6"/>
    <w:rsid w:val="4880035F"/>
    <w:rsid w:val="488C4630"/>
    <w:rsid w:val="48AC5672"/>
    <w:rsid w:val="48BA396D"/>
    <w:rsid w:val="48F650FE"/>
    <w:rsid w:val="48FD7CFE"/>
    <w:rsid w:val="49115557"/>
    <w:rsid w:val="49170DBF"/>
    <w:rsid w:val="493354CD"/>
    <w:rsid w:val="493C5CA6"/>
    <w:rsid w:val="49A40179"/>
    <w:rsid w:val="49CC500E"/>
    <w:rsid w:val="49CF29AC"/>
    <w:rsid w:val="49D40A5E"/>
    <w:rsid w:val="49F32D8A"/>
    <w:rsid w:val="49F42EAF"/>
    <w:rsid w:val="4A0250DD"/>
    <w:rsid w:val="4A185500"/>
    <w:rsid w:val="4A235542"/>
    <w:rsid w:val="4A362F1F"/>
    <w:rsid w:val="4A5B2F2E"/>
    <w:rsid w:val="4A631DE2"/>
    <w:rsid w:val="4A657E11"/>
    <w:rsid w:val="4A695A0C"/>
    <w:rsid w:val="4A7F4E6E"/>
    <w:rsid w:val="4A8042A0"/>
    <w:rsid w:val="4A932779"/>
    <w:rsid w:val="4AFA6516"/>
    <w:rsid w:val="4B1F3A2E"/>
    <w:rsid w:val="4B2F3F16"/>
    <w:rsid w:val="4B5D6832"/>
    <w:rsid w:val="4B692966"/>
    <w:rsid w:val="4B7A3887"/>
    <w:rsid w:val="4BE4108E"/>
    <w:rsid w:val="4BF83E68"/>
    <w:rsid w:val="4BFA0524"/>
    <w:rsid w:val="4C343A36"/>
    <w:rsid w:val="4C651E42"/>
    <w:rsid w:val="4C7221B4"/>
    <w:rsid w:val="4C975D73"/>
    <w:rsid w:val="4CCD3430"/>
    <w:rsid w:val="4CE63B56"/>
    <w:rsid w:val="4D1B3682"/>
    <w:rsid w:val="4D3825CB"/>
    <w:rsid w:val="4D6E5ED4"/>
    <w:rsid w:val="4D9A3D6D"/>
    <w:rsid w:val="4DB618F1"/>
    <w:rsid w:val="4DC47FB0"/>
    <w:rsid w:val="4DDB4F92"/>
    <w:rsid w:val="4DDE62FD"/>
    <w:rsid w:val="4DF36049"/>
    <w:rsid w:val="4E085E98"/>
    <w:rsid w:val="4E13667D"/>
    <w:rsid w:val="4E224FCE"/>
    <w:rsid w:val="4E227CEC"/>
    <w:rsid w:val="4E312006"/>
    <w:rsid w:val="4E434DE9"/>
    <w:rsid w:val="4E516D7B"/>
    <w:rsid w:val="4E696A63"/>
    <w:rsid w:val="4E740A62"/>
    <w:rsid w:val="4E9F0FF5"/>
    <w:rsid w:val="4EAB2916"/>
    <w:rsid w:val="4EAC01FC"/>
    <w:rsid w:val="4EB11BA3"/>
    <w:rsid w:val="4EC651E4"/>
    <w:rsid w:val="4EE918C5"/>
    <w:rsid w:val="4F495A4B"/>
    <w:rsid w:val="4F4A2AC3"/>
    <w:rsid w:val="4F587A3C"/>
    <w:rsid w:val="4F5F526E"/>
    <w:rsid w:val="4F6F1F1D"/>
    <w:rsid w:val="4F8B4779"/>
    <w:rsid w:val="4F8D6AE2"/>
    <w:rsid w:val="4FA048CA"/>
    <w:rsid w:val="4FA3493A"/>
    <w:rsid w:val="4FE37C4D"/>
    <w:rsid w:val="4FFF3D42"/>
    <w:rsid w:val="50083210"/>
    <w:rsid w:val="501F67AB"/>
    <w:rsid w:val="5023629C"/>
    <w:rsid w:val="506F1F11"/>
    <w:rsid w:val="506F328F"/>
    <w:rsid w:val="50941CF8"/>
    <w:rsid w:val="50CF1F80"/>
    <w:rsid w:val="50DC2AD2"/>
    <w:rsid w:val="511C43E3"/>
    <w:rsid w:val="51305287"/>
    <w:rsid w:val="517B2107"/>
    <w:rsid w:val="518A5306"/>
    <w:rsid w:val="518A7135"/>
    <w:rsid w:val="51A04E60"/>
    <w:rsid w:val="51AC3A8A"/>
    <w:rsid w:val="51BA49DE"/>
    <w:rsid w:val="51D3784E"/>
    <w:rsid w:val="51D87B8B"/>
    <w:rsid w:val="520E2B94"/>
    <w:rsid w:val="522B1438"/>
    <w:rsid w:val="523C163F"/>
    <w:rsid w:val="523F0D54"/>
    <w:rsid w:val="52754DA9"/>
    <w:rsid w:val="527A6956"/>
    <w:rsid w:val="52850C18"/>
    <w:rsid w:val="529E6C75"/>
    <w:rsid w:val="52A55434"/>
    <w:rsid w:val="52BA27BB"/>
    <w:rsid w:val="52D4306B"/>
    <w:rsid w:val="531F0CD9"/>
    <w:rsid w:val="5334431C"/>
    <w:rsid w:val="534E1882"/>
    <w:rsid w:val="53870D4D"/>
    <w:rsid w:val="538865A6"/>
    <w:rsid w:val="538E1C7E"/>
    <w:rsid w:val="538F3C48"/>
    <w:rsid w:val="539C0A6E"/>
    <w:rsid w:val="53BA3236"/>
    <w:rsid w:val="53F1045F"/>
    <w:rsid w:val="53FC16E4"/>
    <w:rsid w:val="5401574F"/>
    <w:rsid w:val="54083AF0"/>
    <w:rsid w:val="541303D5"/>
    <w:rsid w:val="541B1826"/>
    <w:rsid w:val="543744C9"/>
    <w:rsid w:val="544F66BB"/>
    <w:rsid w:val="545A4256"/>
    <w:rsid w:val="546E692E"/>
    <w:rsid w:val="54857BC0"/>
    <w:rsid w:val="54890697"/>
    <w:rsid w:val="54971006"/>
    <w:rsid w:val="549C3935"/>
    <w:rsid w:val="55496F40"/>
    <w:rsid w:val="55B766BB"/>
    <w:rsid w:val="55FC0EDD"/>
    <w:rsid w:val="560B5A4E"/>
    <w:rsid w:val="5621502B"/>
    <w:rsid w:val="56327239"/>
    <w:rsid w:val="56464A92"/>
    <w:rsid w:val="56503B63"/>
    <w:rsid w:val="56660C90"/>
    <w:rsid w:val="56B04601"/>
    <w:rsid w:val="56CB4F97"/>
    <w:rsid w:val="56D025AE"/>
    <w:rsid w:val="571903F8"/>
    <w:rsid w:val="5722425E"/>
    <w:rsid w:val="57391733"/>
    <w:rsid w:val="574511ED"/>
    <w:rsid w:val="57456292"/>
    <w:rsid w:val="575707DA"/>
    <w:rsid w:val="576325C0"/>
    <w:rsid w:val="57C22F9A"/>
    <w:rsid w:val="57E76C00"/>
    <w:rsid w:val="57F278C4"/>
    <w:rsid w:val="580469B3"/>
    <w:rsid w:val="58254B7B"/>
    <w:rsid w:val="582C1E58"/>
    <w:rsid w:val="58682DFB"/>
    <w:rsid w:val="58753A6F"/>
    <w:rsid w:val="589A1E61"/>
    <w:rsid w:val="58B210B1"/>
    <w:rsid w:val="58D45F7C"/>
    <w:rsid w:val="58F8666E"/>
    <w:rsid w:val="58FA6008"/>
    <w:rsid w:val="59036C6A"/>
    <w:rsid w:val="59103135"/>
    <w:rsid w:val="592C79C3"/>
    <w:rsid w:val="59357C33"/>
    <w:rsid w:val="593A5400"/>
    <w:rsid w:val="59614660"/>
    <w:rsid w:val="596671F9"/>
    <w:rsid w:val="596B304E"/>
    <w:rsid w:val="59723DF0"/>
    <w:rsid w:val="59A33FA9"/>
    <w:rsid w:val="59D92638"/>
    <w:rsid w:val="59DA32C4"/>
    <w:rsid w:val="59E30AA1"/>
    <w:rsid w:val="5A254B50"/>
    <w:rsid w:val="5A5A316A"/>
    <w:rsid w:val="5A8C206D"/>
    <w:rsid w:val="5ABD109B"/>
    <w:rsid w:val="5AEE394A"/>
    <w:rsid w:val="5B0867BA"/>
    <w:rsid w:val="5B0C460A"/>
    <w:rsid w:val="5BB66216"/>
    <w:rsid w:val="5BBA2229"/>
    <w:rsid w:val="5BCA3A6F"/>
    <w:rsid w:val="5BD42B40"/>
    <w:rsid w:val="5BDB3ECE"/>
    <w:rsid w:val="5BDC0257"/>
    <w:rsid w:val="5BF75938"/>
    <w:rsid w:val="5BF8682E"/>
    <w:rsid w:val="5C020F43"/>
    <w:rsid w:val="5C090A3C"/>
    <w:rsid w:val="5C381321"/>
    <w:rsid w:val="5C4852B3"/>
    <w:rsid w:val="5C7D0887"/>
    <w:rsid w:val="5C890CFB"/>
    <w:rsid w:val="5CCD7CBB"/>
    <w:rsid w:val="5CD526CC"/>
    <w:rsid w:val="5CE24DE9"/>
    <w:rsid w:val="5CFB5670"/>
    <w:rsid w:val="5D041CFD"/>
    <w:rsid w:val="5D500C10"/>
    <w:rsid w:val="5D7418B5"/>
    <w:rsid w:val="5D8451DF"/>
    <w:rsid w:val="5D9205BD"/>
    <w:rsid w:val="5D95186C"/>
    <w:rsid w:val="5DAD20AD"/>
    <w:rsid w:val="5DFB2606"/>
    <w:rsid w:val="5E1100D9"/>
    <w:rsid w:val="5E190CDE"/>
    <w:rsid w:val="5E2B36E9"/>
    <w:rsid w:val="5E450C4C"/>
    <w:rsid w:val="5E673EAC"/>
    <w:rsid w:val="5E812ADB"/>
    <w:rsid w:val="5EA04135"/>
    <w:rsid w:val="5ED30E8D"/>
    <w:rsid w:val="5ED752A6"/>
    <w:rsid w:val="5F0D0843"/>
    <w:rsid w:val="5F5226F9"/>
    <w:rsid w:val="5FB82DF5"/>
    <w:rsid w:val="5FC12651"/>
    <w:rsid w:val="5FFD117D"/>
    <w:rsid w:val="60113618"/>
    <w:rsid w:val="60177E49"/>
    <w:rsid w:val="603A1875"/>
    <w:rsid w:val="603B43A7"/>
    <w:rsid w:val="60430294"/>
    <w:rsid w:val="606D634E"/>
    <w:rsid w:val="607979BD"/>
    <w:rsid w:val="60DA363E"/>
    <w:rsid w:val="60E11D30"/>
    <w:rsid w:val="60EF513B"/>
    <w:rsid w:val="610572F8"/>
    <w:rsid w:val="610F145C"/>
    <w:rsid w:val="61140952"/>
    <w:rsid w:val="614C6A40"/>
    <w:rsid w:val="615076D3"/>
    <w:rsid w:val="61547538"/>
    <w:rsid w:val="615D5386"/>
    <w:rsid w:val="615E4937"/>
    <w:rsid w:val="616D7402"/>
    <w:rsid w:val="6175447D"/>
    <w:rsid w:val="61AE1836"/>
    <w:rsid w:val="61C66F0A"/>
    <w:rsid w:val="61D94C85"/>
    <w:rsid w:val="621A5D0E"/>
    <w:rsid w:val="622240E6"/>
    <w:rsid w:val="622D504B"/>
    <w:rsid w:val="62377985"/>
    <w:rsid w:val="623A1223"/>
    <w:rsid w:val="623B7475"/>
    <w:rsid w:val="6270328E"/>
    <w:rsid w:val="627B5AC3"/>
    <w:rsid w:val="6280757E"/>
    <w:rsid w:val="62A96AD4"/>
    <w:rsid w:val="62B81781"/>
    <w:rsid w:val="62B97655"/>
    <w:rsid w:val="62D33B51"/>
    <w:rsid w:val="62EB67A0"/>
    <w:rsid w:val="62EC264D"/>
    <w:rsid w:val="63021EF2"/>
    <w:rsid w:val="630B25E1"/>
    <w:rsid w:val="6323058D"/>
    <w:rsid w:val="632A3AC1"/>
    <w:rsid w:val="632B573B"/>
    <w:rsid w:val="63473BF7"/>
    <w:rsid w:val="636D5D54"/>
    <w:rsid w:val="63AE011A"/>
    <w:rsid w:val="63C60FC0"/>
    <w:rsid w:val="63ED0C43"/>
    <w:rsid w:val="63F7561D"/>
    <w:rsid w:val="63F83144"/>
    <w:rsid w:val="64104931"/>
    <w:rsid w:val="64490689"/>
    <w:rsid w:val="644C27A0"/>
    <w:rsid w:val="644E6E76"/>
    <w:rsid w:val="647D446A"/>
    <w:rsid w:val="64CF20F6"/>
    <w:rsid w:val="64D4595F"/>
    <w:rsid w:val="64E87203"/>
    <w:rsid w:val="651B2A4B"/>
    <w:rsid w:val="655F1F6C"/>
    <w:rsid w:val="658A65B5"/>
    <w:rsid w:val="658E5B0E"/>
    <w:rsid w:val="659375C8"/>
    <w:rsid w:val="65D40990"/>
    <w:rsid w:val="65E240AB"/>
    <w:rsid w:val="661F2C0A"/>
    <w:rsid w:val="66432B7C"/>
    <w:rsid w:val="6675211B"/>
    <w:rsid w:val="66831C57"/>
    <w:rsid w:val="66D460EA"/>
    <w:rsid w:val="66E5373F"/>
    <w:rsid w:val="66EC5C58"/>
    <w:rsid w:val="66F20023"/>
    <w:rsid w:val="670214F5"/>
    <w:rsid w:val="670F2FB6"/>
    <w:rsid w:val="673042F1"/>
    <w:rsid w:val="67313288"/>
    <w:rsid w:val="67317098"/>
    <w:rsid w:val="674A41DD"/>
    <w:rsid w:val="678418BE"/>
    <w:rsid w:val="67B21438"/>
    <w:rsid w:val="67B66600"/>
    <w:rsid w:val="67CF41BD"/>
    <w:rsid w:val="67DA14DE"/>
    <w:rsid w:val="67E92E96"/>
    <w:rsid w:val="67FB6F31"/>
    <w:rsid w:val="68000819"/>
    <w:rsid w:val="684706A4"/>
    <w:rsid w:val="68473869"/>
    <w:rsid w:val="687C4343"/>
    <w:rsid w:val="68E853B1"/>
    <w:rsid w:val="68F14D31"/>
    <w:rsid w:val="6906116E"/>
    <w:rsid w:val="693B303B"/>
    <w:rsid w:val="69470DF5"/>
    <w:rsid w:val="69716287"/>
    <w:rsid w:val="69754BB8"/>
    <w:rsid w:val="6985204A"/>
    <w:rsid w:val="69886D18"/>
    <w:rsid w:val="69967B61"/>
    <w:rsid w:val="69C67F6C"/>
    <w:rsid w:val="69DC778F"/>
    <w:rsid w:val="69DD7C57"/>
    <w:rsid w:val="69F44661"/>
    <w:rsid w:val="69F94009"/>
    <w:rsid w:val="6A2A24EE"/>
    <w:rsid w:val="6A2A361C"/>
    <w:rsid w:val="6A520512"/>
    <w:rsid w:val="6AA05E76"/>
    <w:rsid w:val="6AB83B4D"/>
    <w:rsid w:val="6AC53936"/>
    <w:rsid w:val="6B0625EA"/>
    <w:rsid w:val="6B2367ED"/>
    <w:rsid w:val="6B2807B2"/>
    <w:rsid w:val="6B674ED8"/>
    <w:rsid w:val="6B8329FE"/>
    <w:rsid w:val="6BB838E4"/>
    <w:rsid w:val="6BE24E05"/>
    <w:rsid w:val="6BE75F78"/>
    <w:rsid w:val="6BF568E7"/>
    <w:rsid w:val="6C004C96"/>
    <w:rsid w:val="6C0E5A50"/>
    <w:rsid w:val="6C106C1C"/>
    <w:rsid w:val="6C1F5132"/>
    <w:rsid w:val="6C4137D4"/>
    <w:rsid w:val="6C4C227F"/>
    <w:rsid w:val="6C6E5E40"/>
    <w:rsid w:val="6C820B1A"/>
    <w:rsid w:val="6C991968"/>
    <w:rsid w:val="6C9B56BD"/>
    <w:rsid w:val="6CAD15A8"/>
    <w:rsid w:val="6D4D78C2"/>
    <w:rsid w:val="6D7825A4"/>
    <w:rsid w:val="6D7D7FD8"/>
    <w:rsid w:val="6DE35EA4"/>
    <w:rsid w:val="6DE41559"/>
    <w:rsid w:val="6DE53E47"/>
    <w:rsid w:val="6E053030"/>
    <w:rsid w:val="6E054DDB"/>
    <w:rsid w:val="6E0E3FC2"/>
    <w:rsid w:val="6E1B1568"/>
    <w:rsid w:val="6E1F40EF"/>
    <w:rsid w:val="6E361438"/>
    <w:rsid w:val="6E581F01"/>
    <w:rsid w:val="6E625D89"/>
    <w:rsid w:val="6EEB76D5"/>
    <w:rsid w:val="6EF32E85"/>
    <w:rsid w:val="6F213E96"/>
    <w:rsid w:val="6F3843B2"/>
    <w:rsid w:val="6F4F3276"/>
    <w:rsid w:val="6F555561"/>
    <w:rsid w:val="6F7B7179"/>
    <w:rsid w:val="6F8F7052"/>
    <w:rsid w:val="6FCD1E2F"/>
    <w:rsid w:val="70057314"/>
    <w:rsid w:val="703D0CCF"/>
    <w:rsid w:val="709530F5"/>
    <w:rsid w:val="709D12FB"/>
    <w:rsid w:val="709F5073"/>
    <w:rsid w:val="70AE52B6"/>
    <w:rsid w:val="70C04795"/>
    <w:rsid w:val="70C76378"/>
    <w:rsid w:val="70CA35FF"/>
    <w:rsid w:val="71081025"/>
    <w:rsid w:val="71263674"/>
    <w:rsid w:val="71285068"/>
    <w:rsid w:val="71333A0D"/>
    <w:rsid w:val="714504B6"/>
    <w:rsid w:val="71663DE2"/>
    <w:rsid w:val="71A83D80"/>
    <w:rsid w:val="71EC5676"/>
    <w:rsid w:val="72111EC2"/>
    <w:rsid w:val="721776DF"/>
    <w:rsid w:val="72284FDE"/>
    <w:rsid w:val="723D0FE7"/>
    <w:rsid w:val="72435ED2"/>
    <w:rsid w:val="7248745F"/>
    <w:rsid w:val="72676064"/>
    <w:rsid w:val="727861EC"/>
    <w:rsid w:val="728E0023"/>
    <w:rsid w:val="72A86B4D"/>
    <w:rsid w:val="72C54B39"/>
    <w:rsid w:val="72D27981"/>
    <w:rsid w:val="72E31848"/>
    <w:rsid w:val="7309711B"/>
    <w:rsid w:val="73373C88"/>
    <w:rsid w:val="733E17AF"/>
    <w:rsid w:val="73644352"/>
    <w:rsid w:val="736670D3"/>
    <w:rsid w:val="73685BF0"/>
    <w:rsid w:val="738D38A8"/>
    <w:rsid w:val="738F2591"/>
    <w:rsid w:val="738F7621"/>
    <w:rsid w:val="73A11102"/>
    <w:rsid w:val="73C02FFA"/>
    <w:rsid w:val="73D653FB"/>
    <w:rsid w:val="73DE41B3"/>
    <w:rsid w:val="73E21E46"/>
    <w:rsid w:val="74145D78"/>
    <w:rsid w:val="743B7522"/>
    <w:rsid w:val="743C0E2B"/>
    <w:rsid w:val="74485A21"/>
    <w:rsid w:val="748C1DB2"/>
    <w:rsid w:val="74B50806"/>
    <w:rsid w:val="74B94727"/>
    <w:rsid w:val="74CB0B2C"/>
    <w:rsid w:val="74D3273C"/>
    <w:rsid w:val="75072A7D"/>
    <w:rsid w:val="75181859"/>
    <w:rsid w:val="75280F54"/>
    <w:rsid w:val="754C6CA4"/>
    <w:rsid w:val="75A94482"/>
    <w:rsid w:val="75BF0CCB"/>
    <w:rsid w:val="75C221AE"/>
    <w:rsid w:val="75CB2679"/>
    <w:rsid w:val="75CD3B78"/>
    <w:rsid w:val="75E41D82"/>
    <w:rsid w:val="75FF5579"/>
    <w:rsid w:val="7614728E"/>
    <w:rsid w:val="769452C2"/>
    <w:rsid w:val="76BB6881"/>
    <w:rsid w:val="76BB697E"/>
    <w:rsid w:val="76C515AB"/>
    <w:rsid w:val="76DE48C7"/>
    <w:rsid w:val="76EC4D8A"/>
    <w:rsid w:val="7769462C"/>
    <w:rsid w:val="776A1CF5"/>
    <w:rsid w:val="776C78F9"/>
    <w:rsid w:val="77774BB6"/>
    <w:rsid w:val="777C4E5B"/>
    <w:rsid w:val="77884AB3"/>
    <w:rsid w:val="77905632"/>
    <w:rsid w:val="77C80D66"/>
    <w:rsid w:val="77CF26E1"/>
    <w:rsid w:val="780954C8"/>
    <w:rsid w:val="78280044"/>
    <w:rsid w:val="78322C70"/>
    <w:rsid w:val="784947E3"/>
    <w:rsid w:val="784D4788"/>
    <w:rsid w:val="786B0DBF"/>
    <w:rsid w:val="78727511"/>
    <w:rsid w:val="78931B46"/>
    <w:rsid w:val="791E4FA3"/>
    <w:rsid w:val="794D48D7"/>
    <w:rsid w:val="796B468C"/>
    <w:rsid w:val="796C5D0E"/>
    <w:rsid w:val="7971247A"/>
    <w:rsid w:val="79915775"/>
    <w:rsid w:val="79986B03"/>
    <w:rsid w:val="79C011E2"/>
    <w:rsid w:val="79E354B7"/>
    <w:rsid w:val="7A00297D"/>
    <w:rsid w:val="7A252A8D"/>
    <w:rsid w:val="7A287E87"/>
    <w:rsid w:val="7A5719C0"/>
    <w:rsid w:val="7A622A67"/>
    <w:rsid w:val="7A6E20A1"/>
    <w:rsid w:val="7A777060"/>
    <w:rsid w:val="7A8E3DC7"/>
    <w:rsid w:val="7AA80FC8"/>
    <w:rsid w:val="7AAC0793"/>
    <w:rsid w:val="7AC1208A"/>
    <w:rsid w:val="7AFE23FE"/>
    <w:rsid w:val="7B221A0A"/>
    <w:rsid w:val="7B5B2589"/>
    <w:rsid w:val="7B6249F8"/>
    <w:rsid w:val="7B9B1144"/>
    <w:rsid w:val="7BBD4F47"/>
    <w:rsid w:val="7BC22E5A"/>
    <w:rsid w:val="7BD5403F"/>
    <w:rsid w:val="7BE418FB"/>
    <w:rsid w:val="7BEB1AB4"/>
    <w:rsid w:val="7C174657"/>
    <w:rsid w:val="7C315C39"/>
    <w:rsid w:val="7C605FFE"/>
    <w:rsid w:val="7C706DF3"/>
    <w:rsid w:val="7C716D5B"/>
    <w:rsid w:val="7CAB2FF1"/>
    <w:rsid w:val="7CCC117F"/>
    <w:rsid w:val="7CDB282C"/>
    <w:rsid w:val="7CF16C56"/>
    <w:rsid w:val="7D083FA0"/>
    <w:rsid w:val="7D096956"/>
    <w:rsid w:val="7D1D3EEF"/>
    <w:rsid w:val="7D276B1C"/>
    <w:rsid w:val="7D751B04"/>
    <w:rsid w:val="7D841415"/>
    <w:rsid w:val="7DF912B5"/>
    <w:rsid w:val="7E0046E9"/>
    <w:rsid w:val="7E33329E"/>
    <w:rsid w:val="7E411E5F"/>
    <w:rsid w:val="7E623BE4"/>
    <w:rsid w:val="7E645D4D"/>
    <w:rsid w:val="7E6C6F4E"/>
    <w:rsid w:val="7E78432D"/>
    <w:rsid w:val="7E9957F7"/>
    <w:rsid w:val="7EB2217F"/>
    <w:rsid w:val="7EDC56E4"/>
    <w:rsid w:val="7F4F235A"/>
    <w:rsid w:val="7F615568"/>
    <w:rsid w:val="7F7973D7"/>
    <w:rsid w:val="7F7E3E6F"/>
    <w:rsid w:val="7F9B1010"/>
    <w:rsid w:val="7FBC3604"/>
    <w:rsid w:val="7FE138D8"/>
    <w:rsid w:val="7FE52A78"/>
    <w:rsid w:val="7FF2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99"/>
    <w:pPr>
      <w:jc w:val="left"/>
    </w:pPr>
  </w:style>
  <w:style w:type="paragraph" w:styleId="4">
    <w:name w:val="Balloon Text"/>
    <w:basedOn w:val="1"/>
    <w:link w:val="26"/>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kinsoku w:val="0"/>
      <w:adjustRightInd w:val="0"/>
      <w:snapToGrid w:val="0"/>
      <w:spacing w:before="100" w:beforeAutospacing="1" w:after="100" w:afterAutospacing="1" w:line="360" w:lineRule="auto"/>
      <w:jc w:val="left"/>
      <w:textAlignment w:val="baseline"/>
    </w:pPr>
    <w:rPr>
      <w:rFonts w:ascii="宋体" w:hAnsi="宋体" w:eastAsia="宋体" w:cs="宋体"/>
      <w:snapToGrid w:val="0"/>
      <w:color w:val="000000"/>
      <w:kern w:val="0"/>
      <w:sz w:val="24"/>
      <w:szCs w:val="21"/>
      <w:lang w:eastAsia="en-US"/>
    </w:rPr>
  </w:style>
  <w:style w:type="paragraph" w:styleId="8">
    <w:name w:val="annotation subject"/>
    <w:basedOn w:val="3"/>
    <w:next w:val="3"/>
    <w:link w:val="25"/>
    <w:qFormat/>
    <w:uiPriority w:val="0"/>
    <w:rPr>
      <w:b/>
      <w:bCs/>
    </w:rPr>
  </w:style>
  <w:style w:type="character" w:styleId="11">
    <w:name w:val="Strong"/>
    <w:basedOn w:val="10"/>
    <w:qFormat/>
    <w:uiPriority w:val="0"/>
    <w:rPr>
      <w:b/>
      <w:bCs/>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unhideWhenUsed/>
    <w:qFormat/>
    <w:uiPriority w:val="99"/>
    <w:rPr>
      <w:color w:val="0000FF"/>
      <w:u w:val="single"/>
    </w:rPr>
  </w:style>
  <w:style w:type="character" w:styleId="17">
    <w:name w:val="HTML Code"/>
    <w:basedOn w:val="10"/>
    <w:qFormat/>
    <w:uiPriority w:val="0"/>
    <w:rPr>
      <w:rFonts w:ascii="Courier New" w:hAnsi="Courier New"/>
      <w:sz w:val="20"/>
    </w:rPr>
  </w:style>
  <w:style w:type="character" w:styleId="18">
    <w:name w:val="annotation reference"/>
    <w:basedOn w:val="10"/>
    <w:qFormat/>
    <w:uiPriority w:val="0"/>
    <w:rPr>
      <w:sz w:val="21"/>
      <w:szCs w:val="21"/>
    </w:rPr>
  </w:style>
  <w:style w:type="character" w:styleId="19">
    <w:name w:val="HTML Cite"/>
    <w:basedOn w:val="10"/>
    <w:qFormat/>
    <w:uiPriority w:val="0"/>
  </w:style>
  <w:style w:type="character" w:styleId="20">
    <w:name w:val="HTML Keyboard"/>
    <w:basedOn w:val="10"/>
    <w:qFormat/>
    <w:uiPriority w:val="0"/>
    <w:rPr>
      <w:rFonts w:ascii="Courier New" w:hAnsi="Courier New"/>
      <w:sz w:val="20"/>
    </w:rPr>
  </w:style>
  <w:style w:type="character" w:styleId="21">
    <w:name w:val="HTML Sample"/>
    <w:basedOn w:val="10"/>
    <w:qFormat/>
    <w:uiPriority w:val="0"/>
    <w:rPr>
      <w:rFonts w:ascii="Courier New" w:hAnsi="Courier New"/>
    </w:rPr>
  </w:style>
  <w:style w:type="character" w:customStyle="1" w:styleId="22">
    <w:name w:val="页眉 Char"/>
    <w:basedOn w:val="10"/>
    <w:link w:val="6"/>
    <w:qFormat/>
    <w:uiPriority w:val="0"/>
    <w:rPr>
      <w:rFonts w:asciiTheme="minorHAnsi" w:hAnsiTheme="minorHAnsi" w:eastAsiaTheme="minorEastAsia" w:cstheme="minorBidi"/>
      <w:kern w:val="2"/>
      <w:sz w:val="18"/>
      <w:szCs w:val="18"/>
    </w:rPr>
  </w:style>
  <w:style w:type="character" w:customStyle="1" w:styleId="23">
    <w:name w:val="页脚 Char"/>
    <w:basedOn w:val="10"/>
    <w:link w:val="5"/>
    <w:qFormat/>
    <w:uiPriority w:val="0"/>
    <w:rPr>
      <w:rFonts w:asciiTheme="minorHAnsi" w:hAnsiTheme="minorHAnsi" w:eastAsiaTheme="minorEastAsia" w:cstheme="minorBidi"/>
      <w:kern w:val="2"/>
      <w:sz w:val="18"/>
      <w:szCs w:val="18"/>
    </w:rPr>
  </w:style>
  <w:style w:type="character" w:customStyle="1" w:styleId="24">
    <w:name w:val="批注文字 Char"/>
    <w:basedOn w:val="10"/>
    <w:link w:val="3"/>
    <w:qFormat/>
    <w:uiPriority w:val="99"/>
    <w:rPr>
      <w:rFonts w:asciiTheme="minorHAnsi" w:hAnsiTheme="minorHAnsi" w:eastAsiaTheme="minorEastAsia" w:cstheme="minorBidi"/>
      <w:kern w:val="2"/>
      <w:sz w:val="21"/>
      <w:szCs w:val="24"/>
    </w:rPr>
  </w:style>
  <w:style w:type="character" w:customStyle="1" w:styleId="25">
    <w:name w:val="批注主题 Char"/>
    <w:basedOn w:val="24"/>
    <w:link w:val="8"/>
    <w:qFormat/>
    <w:uiPriority w:val="0"/>
  </w:style>
  <w:style w:type="character" w:customStyle="1" w:styleId="26">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27">
    <w:name w:val="hover"/>
    <w:basedOn w:val="10"/>
    <w:qFormat/>
    <w:uiPriority w:val="0"/>
    <w:rPr>
      <w:color w:val="025291"/>
    </w:rPr>
  </w:style>
  <w:style w:type="character" w:customStyle="1" w:styleId="28">
    <w:name w:val="laypage_curr"/>
    <w:basedOn w:val="10"/>
    <w:qFormat/>
    <w:uiPriority w:val="0"/>
    <w:rPr>
      <w:color w:val="FFFDF4"/>
      <w:sz w:val="42"/>
      <w:szCs w:val="42"/>
      <w:shd w:val="clear" w:fill="0B67A6"/>
    </w:rPr>
  </w:style>
  <w:style w:type="character" w:customStyle="1" w:styleId="29">
    <w:name w:val="place"/>
    <w:basedOn w:val="10"/>
    <w:qFormat/>
    <w:uiPriority w:val="0"/>
    <w:rPr>
      <w:rFonts w:ascii="微软雅黑" w:hAnsi="微软雅黑" w:eastAsia="微软雅黑" w:cs="微软雅黑"/>
      <w:color w:val="888888"/>
      <w:sz w:val="25"/>
      <w:szCs w:val="25"/>
    </w:rPr>
  </w:style>
  <w:style w:type="character" w:customStyle="1" w:styleId="30">
    <w:name w:val="place1"/>
    <w:basedOn w:val="10"/>
    <w:qFormat/>
    <w:uiPriority w:val="0"/>
  </w:style>
  <w:style w:type="character" w:customStyle="1" w:styleId="31">
    <w:name w:val="place2"/>
    <w:basedOn w:val="10"/>
    <w:qFormat/>
    <w:uiPriority w:val="0"/>
  </w:style>
  <w:style w:type="character" w:customStyle="1" w:styleId="32">
    <w:name w:val="place3"/>
    <w:basedOn w:val="10"/>
    <w:qFormat/>
    <w:uiPriority w:val="0"/>
  </w:style>
  <w:style w:type="character" w:customStyle="1" w:styleId="33">
    <w:name w:val="tabg"/>
    <w:basedOn w:val="10"/>
    <w:qFormat/>
    <w:uiPriority w:val="0"/>
    <w:rPr>
      <w:color w:val="FFFFFF"/>
      <w:sz w:val="27"/>
      <w:szCs w:val="27"/>
    </w:rPr>
  </w:style>
  <w:style w:type="character" w:customStyle="1" w:styleId="34">
    <w:name w:val="bg02"/>
    <w:basedOn w:val="10"/>
    <w:qFormat/>
    <w:uiPriority w:val="0"/>
  </w:style>
  <w:style w:type="character" w:customStyle="1" w:styleId="35">
    <w:name w:val="bg01"/>
    <w:basedOn w:val="10"/>
    <w:qFormat/>
    <w:uiPriority w:val="0"/>
  </w:style>
  <w:style w:type="character" w:customStyle="1" w:styleId="36">
    <w:name w:val="active&gt;i"/>
    <w:basedOn w:val="10"/>
    <w:qFormat/>
    <w:uiPriority w:val="0"/>
  </w:style>
  <w:style w:type="character" w:customStyle="1" w:styleId="37">
    <w:name w:val="font_gjgzk"/>
    <w:basedOn w:val="10"/>
    <w:qFormat/>
    <w:uiPriority w:val="0"/>
  </w:style>
  <w:style w:type="character" w:customStyle="1" w:styleId="38">
    <w:name w:val="font-zyygwj"/>
    <w:basedOn w:val="10"/>
    <w:qFormat/>
    <w:uiPriority w:val="0"/>
  </w:style>
  <w:style w:type="character" w:customStyle="1" w:styleId="39">
    <w:name w:val="font-zyygwj1"/>
    <w:basedOn w:val="10"/>
    <w:qFormat/>
    <w:uiPriority w:val="0"/>
  </w:style>
  <w:style w:type="character" w:customStyle="1" w:styleId="40">
    <w:name w:val="on5"/>
    <w:basedOn w:val="10"/>
    <w:qFormat/>
    <w:uiPriority w:val="0"/>
    <w:rPr>
      <w:color w:val="FFFFFF"/>
      <w:shd w:val="clear" w:fill="0B67A6"/>
    </w:rPr>
  </w:style>
  <w:style w:type="character" w:customStyle="1" w:styleId="41">
    <w:name w:val="on6"/>
    <w:basedOn w:val="10"/>
    <w:qFormat/>
    <w:uiPriority w:val="0"/>
    <w:rPr>
      <w:b/>
      <w:bCs/>
      <w:color w:val="015293"/>
    </w:rPr>
  </w:style>
  <w:style w:type="character" w:customStyle="1" w:styleId="42">
    <w:name w:val="font2"/>
    <w:basedOn w:val="10"/>
    <w:qFormat/>
    <w:uiPriority w:val="0"/>
  </w:style>
  <w:style w:type="character" w:customStyle="1" w:styleId="43">
    <w:name w:val="font3"/>
    <w:basedOn w:val="10"/>
    <w:qFormat/>
    <w:uiPriority w:val="0"/>
  </w:style>
  <w:style w:type="character" w:customStyle="1" w:styleId="44">
    <w:name w:val="noline"/>
    <w:basedOn w:val="10"/>
    <w:qFormat/>
    <w:uiPriority w:val="0"/>
  </w:style>
  <w:style w:type="character" w:customStyle="1" w:styleId="45">
    <w:name w:val="hover14"/>
    <w:basedOn w:val="10"/>
    <w:qFormat/>
    <w:uiPriority w:val="0"/>
    <w:rPr>
      <w:color w:val="025291"/>
    </w:rPr>
  </w:style>
  <w:style w:type="character" w:customStyle="1" w:styleId="46">
    <w:name w:val="font"/>
    <w:basedOn w:val="10"/>
    <w:qFormat/>
    <w:uiPriority w:val="0"/>
  </w:style>
  <w:style w:type="character" w:customStyle="1" w:styleId="47">
    <w:name w:val="font1"/>
    <w:basedOn w:val="10"/>
    <w:qFormat/>
    <w:uiPriority w:val="0"/>
  </w:style>
  <w:style w:type="character" w:customStyle="1" w:styleId="48">
    <w:name w:val="xll_current"/>
    <w:basedOn w:val="10"/>
    <w:qFormat/>
    <w:uiPriority w:val="0"/>
    <w:rPr>
      <w:color w:val="FFFFFF"/>
      <w:shd w:val="clear" w:fill="FF6200"/>
    </w:rPr>
  </w:style>
  <w:style w:type="character" w:customStyle="1" w:styleId="49">
    <w:name w:val="hover26"/>
    <w:basedOn w:val="10"/>
    <w:qFormat/>
    <w:uiPriority w:val="0"/>
    <w:rPr>
      <w:color w:val="CCCCCC"/>
    </w:rPr>
  </w:style>
  <w:style w:type="character" w:customStyle="1" w:styleId="50">
    <w:name w:val="hover27"/>
    <w:basedOn w:val="10"/>
    <w:qFormat/>
    <w:uiPriority w:val="0"/>
    <w:rPr>
      <w:color w:val="929292"/>
    </w:rPr>
  </w:style>
  <w:style w:type="character" w:customStyle="1" w:styleId="51">
    <w:name w:val="hover28"/>
    <w:basedOn w:val="10"/>
    <w:qFormat/>
    <w:uiPriority w:val="0"/>
  </w:style>
  <w:style w:type="character" w:customStyle="1" w:styleId="52">
    <w:name w:val="layui-layer-tabnow"/>
    <w:basedOn w:val="10"/>
    <w:qFormat/>
    <w:uiPriority w:val="0"/>
    <w:rPr>
      <w:bdr w:val="single" w:color="CCCCCC" w:sz="6" w:space="0"/>
      <w:shd w:val="clear" w:fill="FFFFFF"/>
    </w:rPr>
  </w:style>
  <w:style w:type="character" w:customStyle="1" w:styleId="53">
    <w:name w:val="first-child"/>
    <w:basedOn w:val="10"/>
    <w:qFormat/>
    <w:uiPriority w:val="0"/>
  </w:style>
  <w:style w:type="character" w:customStyle="1" w:styleId="54">
    <w:name w:val="share_box"/>
    <w:basedOn w:val="10"/>
    <w:qFormat/>
    <w:uiPriority w:val="0"/>
  </w:style>
  <w:style w:type="character" w:customStyle="1" w:styleId="55">
    <w:name w:val="xll_current1"/>
    <w:basedOn w:val="10"/>
    <w:qFormat/>
    <w:uiPriority w:val="0"/>
    <w:rPr>
      <w:color w:val="FFFFFF"/>
      <w:shd w:val="clear" w:fill="FF6200"/>
    </w:rPr>
  </w:style>
  <w:style w:type="character" w:customStyle="1" w:styleId="56">
    <w:name w:val="hover25"/>
    <w:basedOn w:val="10"/>
    <w:qFormat/>
    <w:uiPriority w:val="0"/>
    <w:rPr>
      <w:color w:val="929292"/>
    </w:rPr>
  </w:style>
  <w:style w:type="character" w:customStyle="1" w:styleId="57">
    <w:name w:val="hover1"/>
    <w:basedOn w:val="10"/>
    <w:qFormat/>
    <w:uiPriority w:val="0"/>
    <w:rPr>
      <w:color w:val="CCCCCC"/>
    </w:rPr>
  </w:style>
  <w:style w:type="character" w:customStyle="1" w:styleId="58">
    <w:name w:val="hover2"/>
    <w:basedOn w:val="10"/>
    <w:qFormat/>
    <w:uiPriority w:val="0"/>
  </w:style>
  <w:style w:type="character" w:customStyle="1" w:styleId="59">
    <w:name w:val="hover15"/>
    <w:basedOn w:val="10"/>
    <w:qFormat/>
    <w:uiPriority w:val="0"/>
    <w:rPr>
      <w:color w:val="025291"/>
    </w:rPr>
  </w:style>
  <w:style w:type="character" w:customStyle="1" w:styleId="60">
    <w:name w:val="on"/>
    <w:basedOn w:val="10"/>
    <w:qFormat/>
    <w:uiPriority w:val="0"/>
    <w:rPr>
      <w:color w:val="FFFFFF"/>
      <w:shd w:val="clear" w:fill="0B67A6"/>
    </w:rPr>
  </w:style>
  <w:style w:type="character" w:customStyle="1" w:styleId="61">
    <w:name w:val="on1"/>
    <w:basedOn w:val="10"/>
    <w:qFormat/>
    <w:uiPriority w:val="0"/>
    <w:rPr>
      <w:b/>
      <w:bCs/>
      <w:color w:val="015293"/>
    </w:rPr>
  </w:style>
  <w:style w:type="character" w:customStyle="1" w:styleId="62">
    <w:name w:val="on4"/>
    <w:basedOn w:val="10"/>
    <w:qFormat/>
    <w:uiPriority w:val="0"/>
    <w:rPr>
      <w:color w:val="FFFFFF"/>
      <w:shd w:val="clear" w:fill="0B67A6"/>
    </w:rPr>
  </w:style>
  <w:style w:type="character" w:customStyle="1" w:styleId="63">
    <w:name w:val="type_mtrj9"/>
    <w:basedOn w:val="10"/>
    <w:qFormat/>
    <w:uiPriority w:val="0"/>
    <w:rPr>
      <w:color w:val="999999"/>
    </w:rPr>
  </w:style>
  <w:style w:type="character" w:customStyle="1" w:styleId="64">
    <w:name w:val="first-child1"/>
    <w:basedOn w:val="10"/>
    <w:qFormat/>
    <w:uiPriority w:val="0"/>
  </w:style>
  <w:style w:type="character" w:customStyle="1" w:styleId="65">
    <w:name w:val="desc_j936c"/>
    <w:basedOn w:val="10"/>
    <w:qFormat/>
    <w:uiPriority w:val="0"/>
    <w:rPr>
      <w:color w:val="33333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5635</Words>
  <Characters>5672</Characters>
  <Lines>28</Lines>
  <Paragraphs>8</Paragraphs>
  <TotalTime>30</TotalTime>
  <ScaleCrop>false</ScaleCrop>
  <LinksUpToDate>false</LinksUpToDate>
  <CharactersWithSpaces>5728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2025-01-21T15:25:00Z</dcterms:created>
  <dc:creator>祥子</dc:creator>
  <cp:lastModifiedBy>天天</cp:lastModifiedBy>
  <cp:lastPrinted>2025-08-27T23:25:00Z</cp:lastPrinted>
  <dcterms:modified xsi:type="dcterms:W3CDTF">2025-08-29T01:18:42Z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44538D324844458EB7424343564FBFE8_13</vt:lpwstr>
  </property>
  <property fmtid="{D5CDD505-2E9C-101B-9397-08002B2CF9AE}" pid="4" name="KSOTemplateDocerSaveRecord">
    <vt:lpwstr>eyJoZGlkIjoiMzYyYjhjMjhmZTZlODkzMzUwNjI3ZTY5NzhmODdjMTIiLCJ1c2VySWQiOiIzMTY5MTgzOTgifQ==</vt:lpwstr>
  </property>
</Properties>
</file>