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B5" w:rsidRDefault="003816D4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z w:val="44"/>
          <w:szCs w:val="44"/>
        </w:rPr>
        <w:t>吉林省加强农业种质资源保护与利用</w:t>
      </w:r>
    </w:p>
    <w:p w:rsidR="003D02B5" w:rsidRDefault="003816D4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的实施意见（征求意见稿）</w:t>
      </w:r>
    </w:p>
    <w:bookmarkEnd w:id="0"/>
    <w:p w:rsidR="003D02B5" w:rsidRDefault="003D02B5">
      <w:pPr>
        <w:rPr>
          <w:rFonts w:ascii="仿宋_GB2312" w:eastAsia="仿宋_GB2312" w:hAnsi="仿宋_GB2312" w:cs="仿宋_GB2312"/>
          <w:sz w:val="32"/>
          <w:szCs w:val="32"/>
        </w:rPr>
      </w:pP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农业种质资源是保障国家粮食安全与重要农产品供给的战略性资源，是农业科技原始创新与现代种业发展的物质基础。为贯彻落实好《国务院办公厅关于加强农业种质资源保护与利用的意见》（国办发〔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号），进一步加强我省农业种质资源保护与利用工作，特制定如下实施意见。</w:t>
      </w:r>
    </w:p>
    <w:p w:rsidR="003D02B5" w:rsidRDefault="003816D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（一）指导思想。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十九大和十九届二中、三中、四中全会精神，以习近平总书记关于“三农”工作重要论述为指导，落实新发展理念，坚持农业农村优先发展，以农业供给侧结构性改革为主线，明确种质</w:t>
      </w:r>
      <w:r>
        <w:rPr>
          <w:rFonts w:ascii="仿宋_GB2312" w:eastAsia="仿宋_GB2312" w:hAnsi="仿宋_GB2312" w:cs="仿宋_GB2312" w:hint="eastAsia"/>
          <w:sz w:val="32"/>
          <w:szCs w:val="32"/>
        </w:rPr>
        <w:t>资源保护的基础性和公益性地位，坚持保护优先、高效利用、政府主导、多元参与的原则，创新体制机制，强化责任落实、科技支撑和法治保障，构建多层次收集保护、多元化开发利用和多渠道政策支持的新格局，为保障农业生产安全，实施乡村振兴战略奠定坚实基础。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（二）工作目标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年，完成全省作物、畜禽、水产、食药用菌、农业微生物种质资源全面普查、系统调查与收集工作，建立省级农业种质资源名录信息库。到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年，建成完善的农作物种质资源库、畜禽水产保种场和种质资源鉴定评价体系，积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极推进农作物种质资源库（场、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）、畜禽基因库</w:t>
      </w:r>
      <w:r>
        <w:rPr>
          <w:rFonts w:ascii="仿宋_GB2312" w:eastAsia="仿宋_GB2312" w:hAnsi="仿宋_GB2312" w:cs="仿宋_GB2312" w:hint="eastAsia"/>
          <w:sz w:val="32"/>
          <w:szCs w:val="32"/>
        </w:rPr>
        <w:t>、水产保种场</w:t>
      </w:r>
      <w:r>
        <w:rPr>
          <w:rFonts w:ascii="仿宋_GB2312" w:eastAsia="仿宋_GB2312" w:hAnsi="仿宋_GB2312" w:cs="仿宋_GB2312" w:hint="eastAsia"/>
          <w:sz w:val="32"/>
          <w:szCs w:val="32"/>
        </w:rPr>
        <w:t>（种质资源保护区）和农业微生物资源储存库建设。加强种质资源重要性状鉴定与利用技术研究，积极研制具有自主知识产权的新种质，为建设现代种业提供有力资源支撑和技术储备。力争到</w:t>
      </w:r>
      <w:r>
        <w:rPr>
          <w:rFonts w:ascii="仿宋_GB2312" w:eastAsia="仿宋_GB2312" w:hAnsi="仿宋_GB2312" w:cs="仿宋_GB2312" w:hint="eastAsia"/>
          <w:sz w:val="32"/>
          <w:szCs w:val="32"/>
        </w:rPr>
        <w:t>2035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年，全省建成系统完善、科学高效的农业种质资源保护利用体系和资源深度鉴定评价体系，力争使全省农业种质资源保护、创新、评价及利用整体达到国内先进水平。</w:t>
      </w:r>
    </w:p>
    <w:p w:rsidR="003D02B5" w:rsidRDefault="003816D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二、重点任务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（一）制定发展规划，建立长效机制。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按照国办发〔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号意见要求，省农业农村厅会同省发展改革委、科技厅、财政厅、生态环境厅、自然资源厅、人力资源和社会保障厅、省畜牧业管理局、省农业科学院、吉林农业大学等部门，结合吉林省农业农村“十四五”发展规划，研究制定全省农业种质资源保护与利用发展规划，突出抓好吉林省优势特色种质资源尤其原产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域优势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色种质资源流失挽救。以农业种质资源安全保护和有效利用为核心，规划建设完善的全省农业种质资源保护利用体系，分级别、分类别、分区域、分阶段提出保护利用的目标任务和保障措施，建立健全种质资源保护与利用的长效机</w:t>
      </w:r>
      <w:r>
        <w:rPr>
          <w:rFonts w:ascii="仿宋_GB2312" w:eastAsia="仿宋_GB2312" w:hAnsi="仿宋_GB2312" w:cs="仿宋_GB2312" w:hint="eastAsia"/>
          <w:sz w:val="32"/>
          <w:szCs w:val="32"/>
        </w:rPr>
        <w:t>制。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（责任单位：省农业农村厅，省发展改革委、省科技厅、省财政厅、省生态环境厅、省自然资源厅、省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人社厅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、省畜牧业管理局、省农业科学院、吉林农业大学配合）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（二）开展系统普查，做好收集管理。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开展全省农业种质资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源（主要包括作物、畜禽、水产、食药用菌、农业微生物）全面普查、系统调查与抢救性收集工作，全面完成第三次全国农作物种质资源普查与收集行动任务。加大珍稀、濒危、特有资源与地方特色品种收集力度，特别是长白山人参、北方食药用菌、四粒红花生、野生大豆、野生果树、延边黄牛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乾华肉用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美利奴羊、吉神黑猪、长白山中蜂、吉林冷</w:t>
      </w:r>
      <w:r>
        <w:rPr>
          <w:rFonts w:ascii="仿宋_GB2312" w:eastAsia="仿宋_GB2312" w:hAnsi="仿宋_GB2312" w:cs="仿宋_GB2312" w:hint="eastAsia"/>
          <w:sz w:val="32"/>
          <w:szCs w:val="32"/>
        </w:rPr>
        <w:t>水鱼等地方特色品种的收集，确保我省特色种质资源不丧失。开展农业种质资源鉴定登记工作，成立种质资源专家组，对新收集的资源进行编目、入库（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）保存，确定种质资源保护名录，对特异资源和重要无性繁殖作物种质资源通过试管苗、超低温、</w:t>
      </w:r>
      <w:r>
        <w:rPr>
          <w:rFonts w:ascii="仿宋_GB2312" w:eastAsia="仿宋_GB2312" w:hAnsi="仿宋_GB2312" w:cs="仿宋_GB2312" w:hint="eastAsia"/>
          <w:sz w:val="32"/>
          <w:szCs w:val="32"/>
        </w:rPr>
        <w:t>DNA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进行复份保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存，做好收集保护工作。鼓励支持科研院所、高等院校、社会组织和企业及个人登记其保存的农业种质资源。进一步加强农业种质资源国内国际交流，做好种质资源出入境审核工作，强化种质资源安全管理，做好农业种质资源引进风险评估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（责任单位：省农业农村厅、市（州）县（市）人民政府，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省级农业种质资源保护单位具体负责）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（三）健全保护体系，提升保护能力。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全省农业种质资源保护体系，实施省、市（州）、县（市）三级管理，形成上下有机衔接的保护机制。省农业农村厅、省畜牧管理局、省农业科学院、吉林农业大学为省级种质资源保护单位，各市（州）、县（市）要明确农业种质资源保护单位。推进作物种质资源库（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）、畜禽基因库、水产保种场和农业微生物资源储存库改扩建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建设。建立全省数据信息平台，完善农业种质资源数据库，实行统一身份档案信息管理，提高信息化管理水平。加强种质资源保护与利用风险意识、安全意识</w:t>
      </w:r>
      <w:r>
        <w:rPr>
          <w:rFonts w:ascii="仿宋_GB2312" w:eastAsia="仿宋_GB2312" w:hAnsi="仿宋_GB2312" w:cs="仿宋_GB2312" w:hint="eastAsia"/>
          <w:sz w:val="32"/>
          <w:szCs w:val="32"/>
        </w:rPr>
        <w:t>、共享意识和政府责任意识。积极推行政府购买服务，鼓励企业、社会组织承接农业种质资源保护任务，构建以政府为主导，科研机构和企业积极参与的农业种质资源保护网络。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（责任单位：省农业农村厅、市（州）县（市）人民政府，省级农业种质资源保护单位具体负责）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（四）加强科学研究，强化科技支撑。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科研院所、高等院校的优势，加强农业种质资源保护与利用的基础理论、关键技术和新种质创制研究，搭建专业化、智能化资源鉴定评价与基因发掘平台。开展种质资源精准鉴定，深化重要经济性状形成机制、群体协同进化规律、基因组结构和功能多样性等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，加快高通量分子鉴定、功能或性状、等位基因规模化发掘等技术应用。着重进行种质资源表型与基因型精准鉴定评价，深度发掘优异种质、优异基因，构建种质资源分子指纹图谱，强化育种创新基础，为科学保护和高效利用农业种质资源提供技术支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（责任单位：省农业农村厅，省级农业种质资源保护单位具体负责）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（五）开发利用资源，提升种业竞争力。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业创新技术体系，开展作物、畜禽、水产、食药用菌、农业微生物良种重大科研联合攻关，整合分子聚合育种和常规育种技术，推动种质资源有效利用。组织科研院所、高校和种业企业开展优异种质资源创</w:t>
      </w:r>
      <w:r>
        <w:rPr>
          <w:rFonts w:ascii="仿宋_GB2312" w:eastAsia="仿宋_GB2312" w:hAnsi="仿宋_GB2312" w:cs="仿宋_GB2312" w:hint="eastAsia"/>
          <w:sz w:val="32"/>
          <w:szCs w:val="32"/>
        </w:rPr>
        <w:t>制、开发及应用研究，规模化创制突破性新种质。建立健全资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源共享体系，在保护知识产权的前提下，实现信息资源的共享融合。深入推进种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业科研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才与科研成果权益改革，鼓励保护责任单位开展资源创新和技术服务，支持创新种质上市交易、作价到企业投资入股。支持“育繁推一体化”种业企业和科研单位开展种质资源收集、鉴定和创新，鼓励地方特色品种申请地理标志产品保护和重要农业文化遗产，培育以地方特色品种开发为主的种业企业，推动资源优势转换为产业优势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（责任单位：省农业农村厅、市（州）县（市）人民政府，省级农业种质资源保护单位具体负责）</w:t>
      </w:r>
    </w:p>
    <w:p w:rsidR="003D02B5" w:rsidRDefault="003816D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（一）加强组织领导，强化责任落实。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省农业农村厅牵头，联合省发展改革委、科技厅、财政厅、生态环境厅、自然资源厅、人力资源和社会保障厅、省畜牧管理局、省农业科学院、吉林农业大学等部门，建立农业种质资源保护联席会议制度，统筹协调，加强合作，明确分工，研究解决种质资源保护与利用中的重大问题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明确部门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责任，省农业农村厅负责管理全省农业种质资源保护与利用工作，市（州）、县（市）人民政府负责本地区种质资源保护与利用工作，省、市（州）、县（市）三级农业种质资源保护单位负责具体实施，并明确专职部门和人员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，省畜牧管理局等相关部门按职责负责相应的工作。农业种质资源保护与利用工作纳入省、市（州）、县（市）三级相关工作考核，并做好督导落实。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（责任单位：省农业农村厅、发展改革委、科技厅、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财政厅、生态环境厅、自然资源厅、人力资源和社会保障厅、省畜牧业管理局、省农业科学院、吉林农业大学，市（州）、县（市）人民政府按职责分工负责）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（二）完善政策支持，加强基础保障。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种质资源保护利用工作周期长、范围广、难度大，需要大量的资金和政策支持。财政部门要将种质资源信息库建设及运行维护纳入部门预算，设立专项资金支持农业种质资源保护工</w:t>
      </w:r>
      <w:r>
        <w:rPr>
          <w:rFonts w:ascii="仿宋_GB2312" w:eastAsia="仿宋_GB2312" w:hAnsi="仿宋_GB2312" w:cs="仿宋_GB2312" w:hint="eastAsia"/>
          <w:sz w:val="32"/>
          <w:szCs w:val="32"/>
        </w:rPr>
        <w:t>作，农业项目和科技项目要优先向种质资源保护及开发利用工作倾斜，探索建立品种创新后补助政策，鼓励育种单位开展种质资源保护和开发利用。自然资源部门在编制国土空间规划时，合理安排新建农业种质资源库（场、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用地，科学设置畜禽种质资源疫病防控缓冲区，不得擅自、超范围将畜禽、水产保种场划入禁养区，占用农业种质资源库（场、区、圃）的，需经原设立机关批准。对种质资源保护科技人员实行同行评价，收集保护、鉴定评价、分发共享等基础性工作可作为职称评定依据。对种质资源保护科技人员绩效工资给予倾斜，可在政策允许的项目中提取间接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经费，在核定总量内用于发放绩效工资。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（责任单位：省农业农村厅、发展改革委、科技厅、财政厅、生态环境厅、自然资源厅、人力资源和社会保障厅、省畜牧业管理局、省农业科学院、吉林农业大学，市（州）、县（市）人民政府按职责分工负责）</w:t>
      </w:r>
    </w:p>
    <w:p w:rsidR="003D02B5" w:rsidRDefault="003816D4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（三）健全规章制度，完善奖惩措施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加快制修订相关配套规章制度，使作物、畜禽、水产、农业微生物种质资源保护与利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用有章可循。建立农业种质资源保护与利用工作奖惩制度。按照国家有关规定，对在农业种质资源保护和利用工作中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突出贡献的单位和个人给予表彰奖励；对因工作不力，不作为、乱作为造成种质资源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流失、灭绝等严重后果的，依法依规追究有关单位和人员的责任。要加强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对农作物种质资源保护与利用相关政策落实情况、资金管理和使用情况进行监督，保</w:t>
      </w:r>
      <w:r>
        <w:rPr>
          <w:rFonts w:ascii="仿宋_GB2312" w:eastAsia="仿宋_GB2312" w:hAnsi="仿宋_GB2312" w:cs="仿宋_GB2312" w:hint="eastAsia"/>
          <w:sz w:val="32"/>
          <w:szCs w:val="32"/>
        </w:rPr>
        <w:t>证发挥最大效益。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（责任单位：省农业农村厅、市（州）县（市）人民政府按职责分工负责）</w:t>
      </w:r>
    </w:p>
    <w:p w:rsidR="003D02B5" w:rsidRDefault="003816D4" w:rsidP="00F264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（四）加强宣传引导，依法保护资源。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相关单位要积极开展科普教育和宣传工作，进一步加强《中华人民共和国种子法》《中华人民共和国畜牧法》《中华人民共和国渔业法》及《中华人民共和国植物新品种保护条例》《农作物种质资源管理办法》《水产种质资源保护区管理暂行办法》等法律法规规章的宣传教育，提高全社会对农业种质资源保护与利用的参与度。规范农业种质资源的获取，依法依规查处侵占、破坏种质资源的行为，严厉打击私自采集天然种质资源和非法向境外提供种质资源活动，防止优异农业种质资源流失。省农业农村厅、省畜牧业管理局要加强工作指导和监督，重大情况及时报告省政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责任单位：省农业农村厅、省畜牧业管理局、市（州）县（市）人民政府，市级农业种质资源保护单位具体负责）</w:t>
      </w:r>
    </w:p>
    <w:sectPr w:rsidR="003D02B5">
      <w:footerReference w:type="default" r:id="rId7"/>
      <w:pgSz w:w="11906" w:h="16838"/>
      <w:pgMar w:top="1417" w:right="1417" w:bottom="141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D4" w:rsidRDefault="003816D4">
      <w:r>
        <w:separator/>
      </w:r>
    </w:p>
  </w:endnote>
  <w:endnote w:type="continuationSeparator" w:id="0">
    <w:p w:rsidR="003816D4" w:rsidRDefault="003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B5" w:rsidRDefault="003816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2B5" w:rsidRDefault="003816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02B5" w:rsidRDefault="003816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D4" w:rsidRDefault="003816D4">
      <w:r>
        <w:separator/>
      </w:r>
    </w:p>
  </w:footnote>
  <w:footnote w:type="continuationSeparator" w:id="0">
    <w:p w:rsidR="003816D4" w:rsidRDefault="0038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FF6083"/>
    <w:rsid w:val="00033723"/>
    <w:rsid w:val="003816D4"/>
    <w:rsid w:val="003D02B5"/>
    <w:rsid w:val="00F26470"/>
    <w:rsid w:val="07381F89"/>
    <w:rsid w:val="0A8210CF"/>
    <w:rsid w:val="0AC8198C"/>
    <w:rsid w:val="0AFC0743"/>
    <w:rsid w:val="0BD85D6D"/>
    <w:rsid w:val="0FA37493"/>
    <w:rsid w:val="13982214"/>
    <w:rsid w:val="165A39C9"/>
    <w:rsid w:val="19D44638"/>
    <w:rsid w:val="1A91383B"/>
    <w:rsid w:val="1B9617AF"/>
    <w:rsid w:val="1C1F3D39"/>
    <w:rsid w:val="1D4D25D2"/>
    <w:rsid w:val="1EA64483"/>
    <w:rsid w:val="22686990"/>
    <w:rsid w:val="29A86DE9"/>
    <w:rsid w:val="29D17891"/>
    <w:rsid w:val="29ED761A"/>
    <w:rsid w:val="2B775864"/>
    <w:rsid w:val="31481778"/>
    <w:rsid w:val="31B45FB9"/>
    <w:rsid w:val="33642BF7"/>
    <w:rsid w:val="33796DAD"/>
    <w:rsid w:val="34AA0318"/>
    <w:rsid w:val="35943BB6"/>
    <w:rsid w:val="36572FE8"/>
    <w:rsid w:val="39866664"/>
    <w:rsid w:val="3DA865CC"/>
    <w:rsid w:val="3F0A654E"/>
    <w:rsid w:val="3F4A2699"/>
    <w:rsid w:val="3F4D3122"/>
    <w:rsid w:val="3F5875A3"/>
    <w:rsid w:val="3F643A42"/>
    <w:rsid w:val="3F7654C9"/>
    <w:rsid w:val="41357770"/>
    <w:rsid w:val="41623C18"/>
    <w:rsid w:val="427B3706"/>
    <w:rsid w:val="42AD5BAB"/>
    <w:rsid w:val="44604D91"/>
    <w:rsid w:val="4985533F"/>
    <w:rsid w:val="4AE14476"/>
    <w:rsid w:val="4CBB5B05"/>
    <w:rsid w:val="4DC209E5"/>
    <w:rsid w:val="509D1E8F"/>
    <w:rsid w:val="51590DA3"/>
    <w:rsid w:val="5461363E"/>
    <w:rsid w:val="5DAB0597"/>
    <w:rsid w:val="5E030FFE"/>
    <w:rsid w:val="5E7A78D0"/>
    <w:rsid w:val="61247261"/>
    <w:rsid w:val="62965F37"/>
    <w:rsid w:val="66F23345"/>
    <w:rsid w:val="66FD13F3"/>
    <w:rsid w:val="67E107C5"/>
    <w:rsid w:val="6AFF6083"/>
    <w:rsid w:val="6D831F89"/>
    <w:rsid w:val="6F792701"/>
    <w:rsid w:val="72F26323"/>
    <w:rsid w:val="741D307B"/>
    <w:rsid w:val="749C2199"/>
    <w:rsid w:val="7CF33457"/>
    <w:rsid w:val="7E5E284D"/>
    <w:rsid w:val="7F2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CBA1"/>
  <w15:docId w15:val="{E566A960-50F5-4356-BE7B-A2358CE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dxy</cp:lastModifiedBy>
  <cp:revision>3</cp:revision>
  <cp:lastPrinted>2020-03-25T08:15:00Z</cp:lastPrinted>
  <dcterms:created xsi:type="dcterms:W3CDTF">2020-03-11T01:42:00Z</dcterms:created>
  <dcterms:modified xsi:type="dcterms:W3CDTF">2020-06-01T01:34:00Z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