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中央财政农业经营主体能力提升资金（农业社会化服务）项目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施方案</w:t>
      </w:r>
    </w:p>
    <w:p>
      <w:pPr>
        <w:spacing w:line="62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参考</w:t>
      </w:r>
      <w:r>
        <w:rPr>
          <w:rFonts w:hint="eastAsia" w:ascii="楷体_GB2312" w:hAnsi="楷体_GB2312" w:eastAsia="楷体_GB2312" w:cs="楷体_GB2312"/>
          <w:sz w:val="32"/>
          <w:szCs w:val="32"/>
        </w:rPr>
        <w:t>样式）</w:t>
      </w:r>
    </w:p>
    <w:p>
      <w:pPr>
        <w:pStyle w:val="8"/>
        <w:spacing w:line="620" w:lineRule="exact"/>
        <w:ind w:left="0" w:leftChars="0" w:firstLine="0" w:firstLineChars="0"/>
        <w:jc w:val="left"/>
        <w:rPr>
          <w:rFonts w:hAnsi="黑体" w:eastAsia="黑体"/>
          <w:sz w:val="32"/>
          <w:szCs w:val="32"/>
        </w:rPr>
      </w:pPr>
    </w:p>
    <w:p>
      <w:pPr>
        <w:pStyle w:val="8"/>
        <w:spacing w:line="620" w:lineRule="exact"/>
        <w:ind w:firstLine="64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一、目标</w:t>
      </w:r>
      <w:r>
        <w:rPr>
          <w:rFonts w:hint="eastAsia" w:hAnsi="黑体" w:eastAsia="黑体"/>
          <w:sz w:val="32"/>
          <w:szCs w:val="32"/>
          <w:lang w:eastAsia="zh-CN"/>
        </w:rPr>
        <w:t>任务</w:t>
      </w:r>
    </w:p>
    <w:p>
      <w:pPr>
        <w:spacing w:line="62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对照</w:t>
      </w:r>
      <w:r>
        <w:rPr>
          <w:rFonts w:hint="eastAsia" w:eastAsia="仿宋_GB2312"/>
          <w:sz w:val="32"/>
          <w:szCs w:val="32"/>
          <w:lang w:eastAsia="zh-CN"/>
        </w:rPr>
        <w:t>下达的</w:t>
      </w:r>
      <w:r>
        <w:rPr>
          <w:rFonts w:hint="eastAsia" w:eastAsia="仿宋_GB2312"/>
          <w:sz w:val="32"/>
          <w:szCs w:val="32"/>
        </w:rPr>
        <w:t>工作任务清单和绩效目标</w:t>
      </w:r>
      <w:r>
        <w:rPr>
          <w:rFonts w:hint="eastAsia" w:eastAsia="仿宋_GB2312"/>
          <w:sz w:val="32"/>
          <w:szCs w:val="32"/>
          <w:lang w:eastAsia="zh-CN"/>
        </w:rPr>
        <w:t>，明确具体</w:t>
      </w:r>
      <w:r>
        <w:rPr>
          <w:rFonts w:hint="eastAsia" w:eastAsia="仿宋_GB2312"/>
          <w:sz w:val="32"/>
          <w:szCs w:val="32"/>
        </w:rPr>
        <w:t>任务</w:t>
      </w:r>
      <w:r>
        <w:rPr>
          <w:rFonts w:hint="eastAsia" w:eastAsia="仿宋_GB2312"/>
          <w:sz w:val="32"/>
          <w:szCs w:val="32"/>
          <w:lang w:eastAsia="zh-CN"/>
        </w:rPr>
        <w:t>和资金安排（包括其他年度结转项目资金）。</w:t>
      </w:r>
      <w:r>
        <w:rPr>
          <w:rFonts w:eastAsia="仿宋_GB2312"/>
          <w:sz w:val="32"/>
          <w:szCs w:val="32"/>
        </w:rPr>
        <w:t>通过项目的实施，</w:t>
      </w:r>
      <w:r>
        <w:rPr>
          <w:rFonts w:hint="eastAsia" w:eastAsia="仿宋_GB2312"/>
          <w:sz w:val="32"/>
          <w:szCs w:val="32"/>
          <w:lang w:eastAsia="zh-CN"/>
        </w:rPr>
        <w:t>提出培育服务市场，提升服务小农户水平，发展</w:t>
      </w:r>
      <w:r>
        <w:rPr>
          <w:rFonts w:hint="eastAsia" w:eastAsia="仿宋_GB2312"/>
          <w:sz w:val="32"/>
          <w:szCs w:val="32"/>
        </w:rPr>
        <w:t>服务规模经营</w:t>
      </w:r>
      <w:r>
        <w:rPr>
          <w:rFonts w:hint="eastAsia" w:eastAsia="仿宋_GB2312"/>
          <w:sz w:val="32"/>
          <w:szCs w:val="32"/>
          <w:lang w:eastAsia="zh-CN"/>
        </w:rPr>
        <w:t>以及对</w:t>
      </w:r>
      <w:r>
        <w:rPr>
          <w:rFonts w:hint="eastAsia" w:eastAsia="仿宋_GB2312"/>
          <w:sz w:val="32"/>
          <w:szCs w:val="32"/>
        </w:rPr>
        <w:t>关键和薄弱环节</w:t>
      </w:r>
      <w:r>
        <w:rPr>
          <w:rFonts w:hint="eastAsia" w:eastAsia="仿宋_GB2312"/>
          <w:sz w:val="32"/>
          <w:szCs w:val="32"/>
          <w:lang w:eastAsia="zh-CN"/>
        </w:rPr>
        <w:t>支持，促进粮油生产扩面增量、</w:t>
      </w:r>
      <w:r>
        <w:rPr>
          <w:rFonts w:hint="eastAsia" w:eastAsia="仿宋_GB2312"/>
          <w:sz w:val="32"/>
          <w:szCs w:val="32"/>
        </w:rPr>
        <w:t>农业增</w:t>
      </w:r>
      <w:r>
        <w:rPr>
          <w:rFonts w:hint="eastAsia" w:eastAsia="仿宋_GB2312"/>
          <w:sz w:val="32"/>
          <w:szCs w:val="32"/>
          <w:lang w:eastAsia="zh-CN"/>
        </w:rPr>
        <w:t>产</w:t>
      </w:r>
      <w:r>
        <w:rPr>
          <w:rFonts w:hint="eastAsia" w:eastAsia="仿宋_GB2312"/>
          <w:sz w:val="32"/>
          <w:szCs w:val="32"/>
        </w:rPr>
        <w:t>增效等</w:t>
      </w:r>
      <w:r>
        <w:rPr>
          <w:rFonts w:hint="eastAsia" w:eastAsia="仿宋_GB2312"/>
          <w:sz w:val="32"/>
          <w:szCs w:val="32"/>
          <w:lang w:eastAsia="zh-CN"/>
        </w:rPr>
        <w:t>绩效目标。</w:t>
      </w:r>
    </w:p>
    <w:p>
      <w:pPr>
        <w:spacing w:line="6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二</w:t>
      </w:r>
      <w:r>
        <w:rPr>
          <w:rFonts w:hAnsi="黑体" w:eastAsia="黑体"/>
          <w:sz w:val="32"/>
          <w:szCs w:val="32"/>
        </w:rPr>
        <w:t>、项目实施内容</w:t>
      </w:r>
    </w:p>
    <w:p>
      <w:pPr>
        <w:spacing w:line="62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（一）确定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支持的</w:t>
      </w:r>
      <w:r>
        <w:rPr>
          <w:rFonts w:eastAsia="楷体_GB2312"/>
          <w:b/>
          <w:bCs/>
          <w:sz w:val="32"/>
          <w:szCs w:val="32"/>
        </w:rPr>
        <w:t>产业和环节。</w:t>
      </w:r>
      <w:r>
        <w:rPr>
          <w:rFonts w:eastAsia="仿宋_GB2312"/>
          <w:sz w:val="32"/>
          <w:szCs w:val="32"/>
        </w:rPr>
        <w:t>包括补助什么作物品种、哪几个环节</w:t>
      </w:r>
      <w:r>
        <w:rPr>
          <w:rFonts w:hint="eastAsia" w:eastAsia="仿宋_GB2312"/>
          <w:sz w:val="32"/>
          <w:szCs w:val="32"/>
          <w:lang w:eastAsia="zh-CN"/>
        </w:rPr>
        <w:t>，每个环节补助标准，实施面积，资金安排</w:t>
      </w:r>
      <w:r>
        <w:rPr>
          <w:rFonts w:eastAsia="仿宋_GB2312"/>
          <w:sz w:val="32"/>
          <w:szCs w:val="32"/>
        </w:rPr>
        <w:t>等。</w:t>
      </w:r>
    </w:p>
    <w:p>
      <w:pPr>
        <w:spacing w:line="62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二</w:t>
      </w:r>
      <w:r>
        <w:rPr>
          <w:rFonts w:eastAsia="楷体_GB2312"/>
          <w:b/>
          <w:bCs/>
          <w:sz w:val="32"/>
          <w:szCs w:val="32"/>
        </w:rPr>
        <w:t>）确定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具体补助对象和方式</w:t>
      </w:r>
      <w:r>
        <w:rPr>
          <w:rFonts w:eastAsia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明确补助对象，补助方式和资金拨付方式。明确补助规模上限。</w:t>
      </w:r>
    </w:p>
    <w:p>
      <w:pPr>
        <w:spacing w:line="620" w:lineRule="exact"/>
        <w:ind w:firstLine="643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三</w:t>
      </w:r>
      <w:r>
        <w:rPr>
          <w:rFonts w:eastAsia="楷体_GB2312"/>
          <w:b/>
          <w:bCs/>
          <w:sz w:val="32"/>
          <w:szCs w:val="32"/>
        </w:rPr>
        <w:t>）制定标准。</w:t>
      </w:r>
      <w:r>
        <w:rPr>
          <w:rFonts w:eastAsia="仿宋_GB2312"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  <w:lang w:eastAsia="zh-CN"/>
        </w:rPr>
        <w:t>服务主体具体遴选</w:t>
      </w:r>
      <w:r>
        <w:rPr>
          <w:rFonts w:eastAsia="仿宋_GB2312"/>
          <w:sz w:val="32"/>
          <w:szCs w:val="32"/>
        </w:rPr>
        <w:t>标准；二是服务</w:t>
      </w:r>
      <w:r>
        <w:rPr>
          <w:rFonts w:hint="eastAsia" w:eastAsia="仿宋_GB2312"/>
          <w:sz w:val="32"/>
          <w:szCs w:val="32"/>
          <w:lang w:eastAsia="zh-CN"/>
        </w:rPr>
        <w:t>和验收</w:t>
      </w:r>
      <w:r>
        <w:rPr>
          <w:rFonts w:eastAsia="仿宋_GB2312"/>
          <w:sz w:val="32"/>
          <w:szCs w:val="32"/>
        </w:rPr>
        <w:t>标准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、项目实施流程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643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按照项目准备阶段、实施阶段、验收阶段、资金拨付阶段、</w:t>
      </w:r>
      <w:r>
        <w:rPr>
          <w:rFonts w:hint="eastAsia" w:eastAsia="仿宋_GB2312" w:cs="Times New Roman"/>
          <w:sz w:val="32"/>
          <w:szCs w:val="32"/>
          <w:lang w:eastAsia="zh-CN"/>
        </w:rPr>
        <w:t>总结和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绩效评价阶段等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明确各阶段所需时间、各部门工作职责。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  <w:t>项目准备阶段</w:t>
      </w:r>
      <w:r>
        <w:rPr>
          <w:rFonts w:hint="eastAsia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1"/>
          <w:sz w:val="32"/>
          <w:szCs w:val="32"/>
          <w:lang w:val="en-US" w:eastAsia="zh-CN" w:bidi="ar-SA"/>
        </w:rPr>
        <w:t>编制项目方案，公开公示后实施。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  <w:t>（二）项目实施阶段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选定服务主体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公开规范择优选择农业社会化服务主体</w:t>
      </w:r>
      <w:r>
        <w:rPr>
          <w:rFonts w:hint="eastAsia" w:eastAsia="仿宋_GB2312" w:cs="Times New Roman"/>
          <w:sz w:val="32"/>
          <w:szCs w:val="32"/>
          <w:lang w:eastAsia="zh-CN"/>
        </w:rPr>
        <w:t>，公开公示后，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</w:t>
      </w:r>
      <w:r>
        <w:rPr>
          <w:rFonts w:hint="eastAsia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合同，组织项目实施。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项目实施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包括采取那些措施，落实计划任务，指导服务主体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如期完成作业任务</w:t>
      </w:r>
      <w:r>
        <w:rPr>
          <w:rFonts w:hint="eastAsia" w:eastAsia="仿宋_GB2312" w:cs="Times New Roman"/>
          <w:sz w:val="32"/>
          <w:szCs w:val="32"/>
          <w:lang w:eastAsia="zh-CN"/>
        </w:rPr>
        <w:t>，核实作业面积工作。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  <w:t>（三）项目验收阶段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包括组织验收，及时出具验收报告</w:t>
      </w:r>
      <w:r>
        <w:rPr>
          <w:rFonts w:hint="eastAsia" w:eastAsia="仿宋_GB2312" w:cs="Times New Roman"/>
          <w:sz w:val="32"/>
          <w:szCs w:val="32"/>
          <w:lang w:eastAsia="zh-CN"/>
        </w:rPr>
        <w:t>，做好公开公示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val="en-US" w:eastAsia="zh-CN" w:bidi="ar-SA"/>
        </w:rPr>
        <w:t>（四）资金拨付阶段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验收结束后，及时汇总有关资料，</w:t>
      </w:r>
      <w:r>
        <w:rPr>
          <w:rFonts w:hint="eastAsia" w:eastAsia="仿宋_GB2312" w:cs="Times New Roman"/>
          <w:sz w:val="32"/>
          <w:szCs w:val="32"/>
          <w:lang w:eastAsia="zh-CN"/>
        </w:rPr>
        <w:t>向财政部门申请资金拨付，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及时兑付资金。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/>
        <w:jc w:val="both"/>
        <w:textAlignment w:val="auto"/>
        <w:outlineLvl w:val="9"/>
        <w:rPr>
          <w:rFonts w:eastAsia="楷体_GB2312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</w:rPr>
        <w:t>）</w:t>
      </w:r>
      <w:r>
        <w:rPr>
          <w:rFonts w:hint="eastAsia" w:eastAsia="楷体_GB2312" w:cs="Times New Roman"/>
          <w:b/>
          <w:bCs w:val="0"/>
          <w:color w:val="000000"/>
          <w:kern w:val="21"/>
          <w:sz w:val="32"/>
          <w:szCs w:val="32"/>
          <w:lang w:eastAsia="zh-CN"/>
        </w:rPr>
        <w:t>总结和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</w:rPr>
        <w:t>绩效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kern w:val="21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</w:t>
      </w:r>
      <w:r>
        <w:rPr>
          <w:rFonts w:hint="eastAsia" w:eastAsia="仿宋_GB2312" w:cs="Times New Roman"/>
          <w:sz w:val="32"/>
          <w:szCs w:val="32"/>
          <w:lang w:eastAsia="zh-CN"/>
        </w:rPr>
        <w:t>做好项目总结和绩效评价，填报农业农村转移支付平台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四</w:t>
      </w:r>
      <w:r>
        <w:rPr>
          <w:rFonts w:hint="eastAsia" w:hAnsi="黑体" w:eastAsia="黑体"/>
          <w:sz w:val="32"/>
          <w:szCs w:val="32"/>
        </w:rPr>
        <w:t>、</w:t>
      </w:r>
      <w:r>
        <w:rPr>
          <w:rFonts w:hAnsi="黑体" w:eastAsia="黑体"/>
          <w:sz w:val="32"/>
          <w:szCs w:val="32"/>
        </w:rPr>
        <w:t>保障措施</w:t>
      </w:r>
    </w:p>
    <w:p>
      <w:pPr>
        <w:spacing w:line="6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主要包括项目工作组织领导、督促指导、资金拨付及监管、宣传</w:t>
      </w:r>
      <w:r>
        <w:rPr>
          <w:rFonts w:hint="eastAsia" w:eastAsia="仿宋_GB2312"/>
          <w:sz w:val="32"/>
          <w:szCs w:val="32"/>
        </w:rPr>
        <w:t>培训</w:t>
      </w:r>
      <w:r>
        <w:rPr>
          <w:rFonts w:eastAsia="仿宋_GB2312"/>
          <w:sz w:val="32"/>
          <w:szCs w:val="32"/>
        </w:rPr>
        <w:t>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481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 w:line="208" w:lineRule="atLeast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2024-09-05T01:46:41Z</dcterms:created>
  <dc:creator>Administrator</dc:creator>
  <cp:lastModifiedBy>天天</cp:lastModifiedBy>
  <dcterms:modified xsi:type="dcterms:W3CDTF">2024-09-05T01:47:00Z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C9C411CBF3294511B5FBA5EC04B3C4A8_12</vt:lpwstr>
  </property>
</Properties>
</file>