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lang w:val="en-US" w:eastAsia="zh-CN"/>
        </w:rPr>
      </w:pPr>
      <w:r>
        <w:rPr>
          <w:rFonts w:hint="eastAsia" w:ascii="仿宋_GB2312" w:hAnsi="仿宋_GB2312" w:eastAsia="仿宋_GB2312" w:cs="仿宋_GB2312"/>
        </w:rPr>
        <w:t>附件</w:t>
      </w:r>
      <w:r>
        <w:rPr>
          <w:rFonts w:hint="eastAsia" w:ascii="仿宋_GB2312" w:hAnsi="仿宋_GB2312" w:eastAsia="仿宋_GB2312" w:cs="仿宋_GB2312"/>
          <w:lang w:val="en-US" w:eastAsia="zh-CN"/>
        </w:rPr>
        <w:t>2</w:t>
      </w:r>
      <w:bookmarkStart w:id="0" w:name="_GoBack"/>
      <w:bookmarkEnd w:id="0"/>
    </w:p>
    <w:p>
      <w:pPr>
        <w:spacing w:line="600" w:lineRule="exact"/>
        <w:jc w:val="center"/>
        <w:rPr>
          <w:rFonts w:hint="eastAsia" w:ascii="方正小标宋_GBK" w:hAnsi="方正小标宋_GBK" w:eastAsia="方正小标宋_GBK" w:cs="方正小标宋_GBK"/>
          <w:sz w:val="44"/>
        </w:rPr>
      </w:pPr>
      <w:r>
        <w:rPr>
          <w:rFonts w:hint="eastAsia" w:ascii="方正小标宋_GBK" w:hAnsi="方正小标宋_GBK" w:eastAsia="方正小标宋_GBK" w:cs="方正小标宋_GBK"/>
          <w:sz w:val="44"/>
        </w:rPr>
        <w:t>吉林省农业农村厅</w:t>
      </w:r>
      <w:r>
        <w:rPr>
          <w:rFonts w:hint="eastAsia" w:ascii="方正小标宋_GBK" w:hAnsi="方正小标宋_GBK" w:eastAsia="方正小标宋_GBK" w:cs="方正小标宋_GBK"/>
          <w:sz w:val="44"/>
          <w:lang w:val="en-US" w:eastAsia="zh-CN"/>
        </w:rPr>
        <w:t>2020年度</w:t>
      </w:r>
      <w:r>
        <w:rPr>
          <w:rFonts w:hint="eastAsia" w:ascii="方正小标宋_GBK" w:hAnsi="方正小标宋_GBK" w:eastAsia="方正小标宋_GBK" w:cs="方正小标宋_GBK"/>
          <w:sz w:val="44"/>
        </w:rPr>
        <w:t>营商环境建设重点任务分工</w:t>
      </w:r>
    </w:p>
    <w:p>
      <w:pPr>
        <w:snapToGrid w:val="0"/>
        <w:spacing w:line="600" w:lineRule="exact"/>
        <w:jc w:val="center"/>
        <w:rPr>
          <w:rFonts w:eastAsia="楷体" w:cs="Times New Roman"/>
          <w:kern w:val="2"/>
          <w:szCs w:val="32"/>
        </w:rPr>
      </w:pPr>
    </w:p>
    <w:tbl>
      <w:tblPr>
        <w:tblStyle w:val="7"/>
        <w:tblW w:w="1316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44"/>
        <w:gridCol w:w="1387"/>
        <w:gridCol w:w="6510"/>
        <w:gridCol w:w="1615"/>
        <w:gridCol w:w="1065"/>
        <w:gridCol w:w="15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2" w:hRule="atLeast"/>
          <w:jc w:val="center"/>
        </w:trPr>
        <w:tc>
          <w:tcPr>
            <w:tcW w:w="1044" w:type="dxa"/>
            <w:tcBorders>
              <w:tl2br w:val="nil"/>
              <w:tr2bl w:val="nil"/>
            </w:tcBorders>
            <w:vAlign w:val="center"/>
          </w:tcPr>
          <w:p>
            <w:pPr>
              <w:spacing w:line="520" w:lineRule="exact"/>
              <w:jc w:val="center"/>
              <w:rPr>
                <w:rFonts w:hint="eastAsia" w:eastAsia="黑体" w:cs="Times New Roman"/>
                <w:sz w:val="24"/>
                <w:lang w:eastAsia="zh-CN"/>
              </w:rPr>
            </w:pPr>
            <w:r>
              <w:rPr>
                <w:rFonts w:hint="eastAsia" w:eastAsia="黑体" w:cs="Times New Roman"/>
                <w:sz w:val="24"/>
                <w:lang w:eastAsia="zh-CN"/>
              </w:rPr>
              <w:t>主要</w:t>
            </w:r>
          </w:p>
          <w:p>
            <w:pPr>
              <w:spacing w:line="520" w:lineRule="exact"/>
              <w:jc w:val="center"/>
              <w:rPr>
                <w:rFonts w:eastAsia="黑体" w:cs="Times New Roman"/>
                <w:sz w:val="24"/>
              </w:rPr>
            </w:pPr>
            <w:r>
              <w:rPr>
                <w:rFonts w:eastAsia="黑体" w:cs="Times New Roman"/>
                <w:sz w:val="24"/>
              </w:rPr>
              <w:t>任务</w:t>
            </w:r>
          </w:p>
        </w:tc>
        <w:tc>
          <w:tcPr>
            <w:tcW w:w="1387" w:type="dxa"/>
            <w:tcBorders>
              <w:tl2br w:val="nil"/>
              <w:tr2bl w:val="nil"/>
            </w:tcBorders>
            <w:vAlign w:val="center"/>
          </w:tcPr>
          <w:p>
            <w:pPr>
              <w:spacing w:line="520" w:lineRule="exact"/>
              <w:jc w:val="center"/>
              <w:rPr>
                <w:rFonts w:hint="eastAsia" w:eastAsia="黑体" w:cs="Times New Roman"/>
                <w:sz w:val="24"/>
                <w:lang w:eastAsia="zh-CN"/>
              </w:rPr>
            </w:pPr>
            <w:r>
              <w:rPr>
                <w:rFonts w:hint="eastAsia" w:eastAsia="黑体" w:cs="Times New Roman"/>
                <w:sz w:val="24"/>
                <w:lang w:eastAsia="zh-CN"/>
              </w:rPr>
              <w:t>重点工作</w:t>
            </w:r>
          </w:p>
        </w:tc>
        <w:tc>
          <w:tcPr>
            <w:tcW w:w="6510" w:type="dxa"/>
            <w:tcBorders>
              <w:tl2br w:val="nil"/>
              <w:tr2bl w:val="nil"/>
            </w:tcBorders>
            <w:vAlign w:val="center"/>
          </w:tcPr>
          <w:p>
            <w:pPr>
              <w:spacing w:line="520" w:lineRule="exact"/>
              <w:jc w:val="center"/>
              <w:rPr>
                <w:rFonts w:eastAsia="黑体" w:cs="Times New Roman"/>
                <w:sz w:val="24"/>
              </w:rPr>
            </w:pPr>
            <w:r>
              <w:rPr>
                <w:rFonts w:eastAsia="黑体" w:cs="Times New Roman"/>
                <w:sz w:val="24"/>
              </w:rPr>
              <w:t>具体工作</w:t>
            </w:r>
          </w:p>
        </w:tc>
        <w:tc>
          <w:tcPr>
            <w:tcW w:w="1615" w:type="dxa"/>
            <w:tcBorders>
              <w:tl2br w:val="nil"/>
              <w:tr2bl w:val="nil"/>
            </w:tcBorders>
            <w:vAlign w:val="center"/>
          </w:tcPr>
          <w:p>
            <w:pPr>
              <w:spacing w:line="520" w:lineRule="exact"/>
              <w:jc w:val="center"/>
              <w:rPr>
                <w:rFonts w:eastAsia="黑体" w:cs="Times New Roman"/>
                <w:sz w:val="24"/>
              </w:rPr>
            </w:pPr>
            <w:r>
              <w:rPr>
                <w:rFonts w:eastAsia="黑体" w:cs="Times New Roman"/>
                <w:sz w:val="24"/>
              </w:rPr>
              <w:t>牵头处室</w:t>
            </w:r>
          </w:p>
          <w:p>
            <w:pPr>
              <w:spacing w:line="520" w:lineRule="exact"/>
              <w:jc w:val="center"/>
              <w:rPr>
                <w:rFonts w:eastAsia="黑体" w:cs="Times New Roman"/>
                <w:sz w:val="24"/>
              </w:rPr>
            </w:pPr>
            <w:r>
              <w:rPr>
                <w:rFonts w:eastAsia="黑体" w:cs="Times New Roman"/>
                <w:sz w:val="24"/>
              </w:rPr>
              <w:t>（单位）</w:t>
            </w:r>
          </w:p>
        </w:tc>
        <w:tc>
          <w:tcPr>
            <w:tcW w:w="1065" w:type="dxa"/>
            <w:tcBorders>
              <w:tl2br w:val="nil"/>
              <w:tr2bl w:val="nil"/>
            </w:tcBorders>
            <w:vAlign w:val="center"/>
          </w:tcPr>
          <w:p>
            <w:pPr>
              <w:spacing w:line="520" w:lineRule="exact"/>
              <w:jc w:val="center"/>
              <w:rPr>
                <w:rFonts w:eastAsia="黑体" w:cs="Times New Roman"/>
                <w:sz w:val="24"/>
              </w:rPr>
            </w:pPr>
            <w:r>
              <w:rPr>
                <w:rFonts w:eastAsia="黑体" w:cs="Times New Roman"/>
                <w:sz w:val="24"/>
              </w:rPr>
              <w:t>责任人</w:t>
            </w:r>
          </w:p>
        </w:tc>
        <w:tc>
          <w:tcPr>
            <w:tcW w:w="1546" w:type="dxa"/>
            <w:tcBorders>
              <w:tl2br w:val="nil"/>
              <w:tr2bl w:val="nil"/>
            </w:tcBorders>
            <w:vAlign w:val="center"/>
          </w:tcPr>
          <w:p>
            <w:pPr>
              <w:spacing w:line="520" w:lineRule="exact"/>
              <w:jc w:val="center"/>
              <w:rPr>
                <w:rFonts w:eastAsia="黑体" w:cs="Times New Roman"/>
                <w:sz w:val="24"/>
              </w:rPr>
            </w:pPr>
            <w:r>
              <w:rPr>
                <w:rFonts w:eastAsia="黑体" w:cs="Times New Roman"/>
                <w:sz w:val="24"/>
              </w:rPr>
              <w:t>配合处室</w:t>
            </w:r>
          </w:p>
          <w:p>
            <w:pPr>
              <w:spacing w:line="520" w:lineRule="exact"/>
              <w:jc w:val="center"/>
              <w:rPr>
                <w:rFonts w:eastAsia="黑体" w:cs="Times New Roman"/>
                <w:sz w:val="24"/>
              </w:rPr>
            </w:pPr>
            <w:r>
              <w:rPr>
                <w:rFonts w:eastAsia="黑体" w:cs="Times New Roman"/>
                <w:sz w:val="24"/>
              </w:rPr>
              <w:t>（单位）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1" w:hRule="atLeast"/>
          <w:jc w:val="center"/>
        </w:trPr>
        <w:tc>
          <w:tcPr>
            <w:tcW w:w="10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hint="eastAsia" w:cs="Times New Roman"/>
                <w:sz w:val="24"/>
                <w:lang w:eastAsia="zh-CN"/>
              </w:rPr>
              <w:t>着力打造市场化营商</w:t>
            </w:r>
            <w:r>
              <w:rPr>
                <w:rFonts w:cs="Times New Roman"/>
                <w:sz w:val="24"/>
              </w:rPr>
              <w:t>环境</w:t>
            </w: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1.持续放宽市场准入。</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落实全国统一的市场准入负面清单，推动“非禁即入”普遍落实，严格按照国家改革要求，大力清理废除妨碍统一市场和公平竞争的各种规定和做法。</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法规处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文  斌</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0" w:hRule="atLeast"/>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p>
        </w:tc>
        <w:tc>
          <w:tcPr>
            <w:tcW w:w="138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2.改革创新市场监管。</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推进农业综合行政执法改革，整合归并执法队伍，加强对行政处罚、行政强制事项的源头治理，切实解决多头执法、多层执法、重复执法、违法违规执法和执法扰民等问题。</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执法局</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hint="eastAsia" w:cs="Times New Roman"/>
                <w:sz w:val="24"/>
                <w:lang w:eastAsia="zh-CN"/>
              </w:rPr>
              <w:t>韩</w:t>
            </w:r>
            <w:r>
              <w:rPr>
                <w:rFonts w:hint="eastAsia" w:cs="Times New Roman"/>
                <w:sz w:val="24"/>
                <w:lang w:val="en-US" w:eastAsia="zh-CN"/>
              </w:rPr>
              <w:t xml:space="preserve">  </w:t>
            </w:r>
            <w:r>
              <w:rPr>
                <w:rFonts w:hint="eastAsia" w:cs="Times New Roman"/>
                <w:sz w:val="24"/>
                <w:lang w:eastAsia="zh-CN"/>
              </w:rPr>
              <w:t>辉</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84" w:hRule="atLeast"/>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p>
        </w:tc>
        <w:tc>
          <w:tcPr>
            <w:tcW w:w="138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加强事中事后监管，通过规范监管、精准监管、联合监管、监管全覆盖、监管的“监管”及早发现风险隐患。大力推行“双随机一公开”监管机制，规范市场监管执法行为。加强吉林省“互联网+监管”系统应用，实现数据归集共享。坚持对新技术、新产业、新业态、新模式实施包容审慎监管，促进新动能健康成长。</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法规处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rPr>
            </w:pPr>
            <w:r>
              <w:rPr>
                <w:rFonts w:hint="eastAsia" w:cs="Times New Roman"/>
                <w:sz w:val="24"/>
              </w:rPr>
              <w:t>文  斌</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3.减轻企业税费负担。</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清理规范政府性基金和行政事业性收费，按照国家规定推进涉企行政事业性收费零收费，及时取消没有法律、行政法规依据或者未经国务院批准的涉企保证金项目，减轻企业负担。</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sz w:val="24"/>
                <w:lang w:eastAsia="zh-CN"/>
              </w:rPr>
            </w:pPr>
            <w:r>
              <w:rPr>
                <w:rFonts w:hint="eastAsia" w:cs="Times New Roman"/>
                <w:sz w:val="24"/>
                <w:lang w:eastAsia="zh-CN"/>
              </w:rPr>
              <w:t>计划财务处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sz w:val="24"/>
                <w:lang w:eastAsia="zh-CN"/>
              </w:rPr>
            </w:pPr>
            <w:r>
              <w:rPr>
                <w:rFonts w:hint="eastAsia" w:cs="Times New Roman"/>
                <w:sz w:val="24"/>
                <w:lang w:eastAsia="zh-CN"/>
              </w:rPr>
              <w:t>郑红霞</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36" w:hRule="atLeast"/>
          <w:jc w:val="center"/>
        </w:trPr>
        <w:tc>
          <w:tcPr>
            <w:tcW w:w="10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hint="eastAsia" w:cs="Times New Roman"/>
                <w:sz w:val="24"/>
                <w:lang w:eastAsia="zh-CN"/>
              </w:rPr>
              <w:t>着力打造市场化营商</w:t>
            </w:r>
            <w:r>
              <w:rPr>
                <w:rFonts w:cs="Times New Roman"/>
                <w:sz w:val="24"/>
              </w:rPr>
              <w:t>环境</w:t>
            </w: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4.规范整顿中介服务。</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及时清理规范行政审批过程中介服务事项，未纳入行政审批中介服务清单的中介服务事项不得作为行政审批受理条件，现有或者已取消的行政审批事项不得转为中介服务，健全中介服务机构惩戒和淘汰机制。</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法规处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文  斌</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20" w:hRule="atLeast"/>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5.推进招标投标改革。</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着力破除隐性壁垒，督促和指导下级部门消除在招投标过程中对民营企业、外资企业的限制和壁垒。本着公开、公平、公正的原则，严格落实政府采购促进中小企业发展政策。</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cs="Times New Roman"/>
                <w:sz w:val="24"/>
                <w:lang w:eastAsia="zh-CN"/>
              </w:rPr>
            </w:pPr>
            <w:r>
              <w:rPr>
                <w:rFonts w:hint="eastAsia" w:cs="Times New Roman"/>
                <w:sz w:val="24"/>
                <w:lang w:eastAsia="zh-CN"/>
              </w:rPr>
              <w:t>计划财务处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cs="Times New Roman"/>
                <w:sz w:val="24"/>
                <w:lang w:eastAsia="zh-CN"/>
              </w:rPr>
            </w:pPr>
            <w:r>
              <w:rPr>
                <w:rFonts w:hint="eastAsia" w:cs="Times New Roman"/>
                <w:sz w:val="24"/>
                <w:lang w:eastAsia="zh-CN"/>
              </w:rPr>
              <w:t>郑红霞</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60" w:hRule="atLeast"/>
          <w:jc w:val="center"/>
        </w:trPr>
        <w:tc>
          <w:tcPr>
            <w:tcW w:w="10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hint="eastAsia" w:cs="Times New Roman"/>
                <w:sz w:val="24"/>
                <w:lang w:eastAsia="zh-CN"/>
              </w:rPr>
              <w:t>着力打造法治化营商</w:t>
            </w:r>
            <w:r>
              <w:rPr>
                <w:rFonts w:cs="Times New Roman"/>
                <w:sz w:val="24"/>
              </w:rPr>
              <w:t>环境</w:t>
            </w: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6.健全营商环境制度体系。</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彻底清理地方保护、指定交易、市场壁垒等限制竞争和有碍公平竞争、侵害市场主体合法权益等影响营商环境的地方性法规、政府规章、规范性文件和政策措施。全面落实公平竞争审查制度，在制定涉及市场主体经济活动的规范性文件和其他政策措施时，进行公平竞争审查评估，防止排除、限制市场竞争。</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法规处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文  斌</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相关处室和直属单位</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pPr>
    </w:p>
    <w:tbl>
      <w:tblPr>
        <w:tblStyle w:val="7"/>
        <w:tblW w:w="1316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44"/>
        <w:gridCol w:w="1387"/>
        <w:gridCol w:w="6510"/>
        <w:gridCol w:w="1615"/>
        <w:gridCol w:w="1065"/>
        <w:gridCol w:w="15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60" w:hRule="atLeast"/>
          <w:jc w:val="center"/>
        </w:trPr>
        <w:tc>
          <w:tcPr>
            <w:tcW w:w="10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hint="eastAsia" w:cs="Times New Roman"/>
                <w:sz w:val="24"/>
                <w:lang w:eastAsia="zh-CN"/>
              </w:rPr>
              <w:t>着力打造法治化营商</w:t>
            </w:r>
            <w:r>
              <w:rPr>
                <w:rFonts w:cs="Times New Roman"/>
                <w:sz w:val="24"/>
              </w:rPr>
              <w:t>环境</w:t>
            </w:r>
          </w:p>
        </w:tc>
        <w:tc>
          <w:tcPr>
            <w:tcW w:w="138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7.科学规范执法工作。</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cs="Times New Roman"/>
                <w:sz w:val="24"/>
                <w:lang w:val="en-US" w:eastAsia="zh-CN"/>
              </w:rPr>
            </w:pPr>
            <w:r>
              <w:rPr>
                <w:rFonts w:hint="eastAsia" w:cs="Times New Roman"/>
                <w:sz w:val="24"/>
                <w:lang w:val="en-US" w:eastAsia="zh-CN"/>
              </w:rPr>
              <w:t xml:space="preserve">编制上报“双随机、一公开”年度抽查计划，并及时向社会公开，减少对企业正常生产经营的干扰。全面细化、量化行政处罚和行政检查等行政行为的裁量权，制定农药案件行政处罚自由裁量权实施标准，并予以公示，明确处罚标准，防止随意执法、标准不一等现象。                    </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法规处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仿宋_GB2312" w:cs="Times New Roman"/>
                <w:sz w:val="24"/>
                <w:lang w:eastAsia="zh-CN"/>
              </w:rPr>
            </w:pP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文  斌</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48" w:hRule="atLeast"/>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pPr>
          </w:p>
        </w:tc>
        <w:tc>
          <w:tcPr>
            <w:tcW w:w="138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pP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cs="Times New Roman"/>
                <w:sz w:val="24"/>
                <w:lang w:val="en-US" w:eastAsia="zh-CN"/>
              </w:rPr>
            </w:pPr>
            <w:r>
              <w:rPr>
                <w:rFonts w:hint="eastAsia" w:cs="Times New Roman"/>
                <w:sz w:val="24"/>
                <w:lang w:val="en-US" w:eastAsia="zh-CN"/>
              </w:rPr>
              <w:t>规范行政执法行为，针对农业农村领域，加强分类指导，精准施策，科学研判行业特点，进一步细化制定防止“一刀切”执法的具体工作举措。严格执行行政执法公示制度、行政执法全过程记录制度和重大行政执法决定法制审核制度。禁止下达或变相下达罚没指标，禁止将罚款、没收的违法所得和没收非法财物拍卖的款项与行政机关及其工作人员利益直接或者变相挂钩。</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val="en-US" w:eastAsia="zh-CN"/>
              </w:rPr>
            </w:pPr>
            <w:r>
              <w:rPr>
                <w:rFonts w:hint="eastAsia" w:cs="Times New Roman"/>
                <w:sz w:val="24"/>
                <w:lang w:eastAsia="zh-CN"/>
              </w:rPr>
              <w:t>执法局</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val="en-US" w:eastAsia="zh-CN"/>
              </w:rPr>
            </w:pPr>
            <w:r>
              <w:rPr>
                <w:rFonts w:hint="eastAsia" w:cs="Times New Roman"/>
                <w:sz w:val="24"/>
                <w:lang w:val="en-US" w:eastAsia="zh-CN"/>
              </w:rPr>
              <w:t>韩  辉</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val="en-US" w:eastAsia="zh-CN"/>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02" w:hRule="atLeast"/>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eastAsia="仿宋_GB2312" w:cs="Times New Roman"/>
                <w:sz w:val="24"/>
                <w:lang w:val="en-US" w:eastAsia="zh-CN"/>
              </w:rPr>
            </w:pPr>
            <w:r>
              <w:rPr>
                <w:rFonts w:hint="eastAsia" w:cs="Times New Roman"/>
                <w:sz w:val="24"/>
                <w:lang w:val="en-US" w:eastAsia="zh-CN"/>
              </w:rPr>
              <w:t>8.加强农产品质量安全监管。</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cs="Times New Roman"/>
                <w:sz w:val="24"/>
                <w:lang w:val="en-US" w:eastAsia="zh-CN"/>
              </w:rPr>
            </w:pPr>
            <w:r>
              <w:rPr>
                <w:rFonts w:hint="eastAsia" w:cs="Times New Roman"/>
                <w:sz w:val="24"/>
                <w:lang w:val="en-US" w:eastAsia="zh-CN"/>
              </w:rPr>
              <w:t>开展农产品质量安全专项整治，重点整治蔬菜、水果、水产品中使用禁用、停用药物等突出问题。建立监管名录，将蔬菜、水果、养殖水产品的生产企业、合作社和家庭农场等生产经营主体纳入监管名录库。完善信息公开制度，及时公布不合格农产品信息，发布一批典型案例。开展农产品质量安全监督检查，严格落实“双随机”制度，重点抽查规模化生产经营主体，抽查内容突出禁限用药物、停用药物和非法添加物。针对重点区域、重点环节和重点产品开展监管，实施精准打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sz w:val="24"/>
                <w:lang w:eastAsia="zh-CN"/>
              </w:rPr>
            </w:pPr>
            <w:r>
              <w:rPr>
                <w:rFonts w:hint="eastAsia" w:cs="Times New Roman"/>
                <w:sz w:val="24"/>
                <w:lang w:eastAsia="zh-CN"/>
              </w:rPr>
              <w:t>农产品质量安全监管处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sz w:val="24"/>
                <w:lang w:eastAsia="zh-CN"/>
              </w:rPr>
            </w:pPr>
            <w:r>
              <w:rPr>
                <w:rFonts w:hint="eastAsia" w:cs="Times New Roman"/>
                <w:sz w:val="24"/>
                <w:lang w:eastAsia="zh-CN"/>
              </w:rPr>
              <w:t>史东兴</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8" w:hRule="atLeast"/>
          <w:jc w:val="center"/>
        </w:trPr>
        <w:tc>
          <w:tcPr>
            <w:tcW w:w="10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hint="eastAsia" w:cs="Times New Roman"/>
                <w:sz w:val="24"/>
                <w:lang w:eastAsia="zh-CN"/>
              </w:rPr>
              <w:t>着力打造法治化营商</w:t>
            </w:r>
            <w:r>
              <w:rPr>
                <w:rFonts w:cs="Times New Roman"/>
                <w:sz w:val="24"/>
              </w:rPr>
              <w:t>环境</w:t>
            </w: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9.开展农资打假专项治理。</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深入开展农资打假“春雷”行动，重点打击生产经营假劣农药、肥料登记产品中有效成分不足、种子侵权假冒等损害农民利益的行为。公布一批农资打假典型案件，提高农民识假辩假和依法维权能力。 </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sz w:val="24"/>
                <w:lang w:eastAsia="zh-CN"/>
              </w:rPr>
            </w:pPr>
            <w:r>
              <w:rPr>
                <w:rFonts w:hint="eastAsia" w:cs="Times New Roman"/>
                <w:sz w:val="24"/>
                <w:lang w:eastAsia="zh-CN"/>
              </w:rPr>
              <w:t>执法局</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sz w:val="24"/>
                <w:lang w:eastAsia="zh-CN"/>
              </w:rPr>
            </w:pPr>
            <w:r>
              <w:rPr>
                <w:rFonts w:hint="eastAsia" w:cs="Times New Roman"/>
                <w:sz w:val="24"/>
                <w:lang w:eastAsia="zh-CN"/>
              </w:rPr>
              <w:t>韩</w:t>
            </w:r>
            <w:r>
              <w:rPr>
                <w:rFonts w:hint="eastAsia" w:cs="Times New Roman"/>
                <w:sz w:val="24"/>
                <w:lang w:val="en-US" w:eastAsia="zh-CN"/>
              </w:rPr>
              <w:t xml:space="preserve">  </w:t>
            </w:r>
            <w:r>
              <w:rPr>
                <w:rFonts w:hint="eastAsia" w:cs="Times New Roman"/>
                <w:sz w:val="24"/>
                <w:lang w:eastAsia="zh-CN"/>
              </w:rPr>
              <w:t>辉</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94" w:hRule="atLeast"/>
          <w:jc w:val="center"/>
        </w:trPr>
        <w:tc>
          <w:tcPr>
            <w:tcW w:w="10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w:t>
            </w:r>
            <w:r>
              <w:rPr>
                <w:rFonts w:hint="eastAsia" w:cs="Times New Roman"/>
                <w:sz w:val="24"/>
                <w:lang w:eastAsia="zh-CN"/>
              </w:rPr>
              <w:t>三</w:t>
            </w:r>
            <w:r>
              <w:rPr>
                <w:rFonts w:cs="Times New Roman"/>
                <w:sz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hint="eastAsia" w:cs="Times New Roman"/>
                <w:sz w:val="24"/>
                <w:lang w:eastAsia="zh-CN"/>
              </w:rPr>
              <w:t>着力打造便利化营商</w:t>
            </w:r>
            <w:r>
              <w:rPr>
                <w:rFonts w:cs="Times New Roman"/>
                <w:sz w:val="24"/>
              </w:rPr>
              <w:t>环境</w:t>
            </w: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10.加快推进政务服务便利化。</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持续深化“放管服”改革，开展政务服务事项梳理规范工作，坚持以条线为主、以依申请办理的政务服务事项为主，对标国家目录，依法依规梳理行政许可、行政给付、行政确认、行政裁决、行政奖励、其他行政权力（5+X）和公共服务等政务服务事项，</w:t>
            </w:r>
            <w:r>
              <w:rPr>
                <w:rFonts w:hint="default" w:cs="Times New Roman"/>
                <w:sz w:val="24"/>
                <w:lang w:val="en-US" w:eastAsia="zh-CN"/>
              </w:rPr>
              <w:t>实现全省农业</w:t>
            </w:r>
            <w:r>
              <w:rPr>
                <w:rFonts w:hint="eastAsia" w:cs="Times New Roman"/>
                <w:sz w:val="24"/>
                <w:lang w:val="en-US" w:eastAsia="zh-CN"/>
              </w:rPr>
              <w:t>农村</w:t>
            </w:r>
            <w:r>
              <w:rPr>
                <w:rFonts w:hint="default" w:cs="Times New Roman"/>
                <w:sz w:val="24"/>
                <w:lang w:val="en-US" w:eastAsia="zh-CN"/>
              </w:rPr>
              <w:t>系统政务服务事项规范化、标准化，做到同一事项横向可比对、纵向可衔接</w:t>
            </w:r>
            <w:r>
              <w:rPr>
                <w:rFonts w:hint="eastAsia" w:cs="Times New Roman"/>
                <w:sz w:val="24"/>
                <w:lang w:val="en-US" w:eastAsia="zh-CN"/>
              </w:rPr>
              <w:t>，</w:t>
            </w:r>
            <w:r>
              <w:rPr>
                <w:rFonts w:hint="default" w:cs="Times New Roman"/>
                <w:sz w:val="24"/>
                <w:lang w:val="en-US" w:eastAsia="zh-CN"/>
              </w:rPr>
              <w:t>省、市、县对外公布的“最多跑一次”事项，达到办事事项总数85%以上。简化办事事项</w:t>
            </w:r>
            <w:r>
              <w:rPr>
                <w:rFonts w:hint="eastAsia" w:cs="Times New Roman"/>
                <w:sz w:val="24"/>
                <w:lang w:val="en-US" w:eastAsia="zh-CN"/>
              </w:rPr>
              <w:t>流程</w:t>
            </w:r>
            <w:r>
              <w:rPr>
                <w:rFonts w:hint="default" w:cs="Times New Roman"/>
                <w:sz w:val="24"/>
                <w:lang w:val="en-US" w:eastAsia="zh-CN"/>
              </w:rPr>
              <w:t>，精简申请材料，</w:t>
            </w:r>
            <w:r>
              <w:rPr>
                <w:rFonts w:hint="eastAsia" w:cs="Times New Roman"/>
                <w:sz w:val="24"/>
                <w:lang w:val="en-US" w:eastAsia="zh-CN"/>
              </w:rPr>
              <w:t>优化事项办理</w:t>
            </w:r>
            <w:r>
              <w:rPr>
                <w:rFonts w:hint="default" w:cs="Times New Roman"/>
                <w:sz w:val="24"/>
                <w:lang w:val="en-US" w:eastAsia="zh-CN"/>
              </w:rPr>
              <w:t>标准和容缺标准。</w:t>
            </w:r>
            <w:r>
              <w:rPr>
                <w:rFonts w:hint="eastAsia" w:cs="Times New Roman"/>
                <w:sz w:val="24"/>
                <w:lang w:val="en-US" w:eastAsia="zh-CN"/>
              </w:rPr>
              <w:t>推进“最多跑一次”改革，企业和群众到政府办事提供的材料减少60%以上，100个高频事项“最多跑一次”。</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val="en-US" w:eastAsia="zh-CN"/>
              </w:rPr>
            </w:pPr>
            <w:r>
              <w:rPr>
                <w:rFonts w:hint="eastAsia" w:cs="Times New Roman"/>
                <w:color w:val="auto"/>
                <w:sz w:val="24"/>
                <w:lang w:eastAsia="zh-CN"/>
              </w:rPr>
              <w:t>法规处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文  斌</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78" w:hRule="atLeast"/>
          <w:jc w:val="center"/>
        </w:trPr>
        <w:tc>
          <w:tcPr>
            <w:tcW w:w="10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w:t>
            </w:r>
            <w:r>
              <w:rPr>
                <w:rFonts w:hint="eastAsia" w:cs="Times New Roman"/>
                <w:sz w:val="24"/>
                <w:lang w:eastAsia="zh-CN"/>
              </w:rPr>
              <w:t>三</w:t>
            </w:r>
            <w:r>
              <w:rPr>
                <w:rFonts w:cs="Times New Roman"/>
                <w:sz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hint="eastAsia" w:cs="Times New Roman"/>
                <w:sz w:val="24"/>
                <w:lang w:eastAsia="zh-CN"/>
              </w:rPr>
              <w:t>着力打造便利化营商</w:t>
            </w:r>
            <w:r>
              <w:rPr>
                <w:rFonts w:cs="Times New Roman"/>
                <w:sz w:val="24"/>
              </w:rPr>
              <w:t>环境</w:t>
            </w: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eastAsia="仿宋_GB2312" w:cs="Times New Roman"/>
                <w:sz w:val="24"/>
                <w:lang w:val="en-US" w:eastAsia="zh-CN"/>
              </w:rPr>
            </w:pPr>
            <w:r>
              <w:rPr>
                <w:rFonts w:hint="eastAsia" w:cs="Times New Roman"/>
                <w:sz w:val="24"/>
                <w:lang w:val="en-US" w:eastAsia="zh-CN"/>
              </w:rPr>
              <w:t>11.大力发展互联网+政务服务”</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开展线上“一网通办”，确保省级政务服务事项网上可办率不低于90%。加强数据共享，完成数据归集比例大于75%。</w:t>
            </w:r>
            <w:r>
              <w:rPr>
                <w:rFonts w:hint="default" w:cs="Times New Roman"/>
                <w:sz w:val="24"/>
                <w:lang w:val="en-US" w:eastAsia="zh-CN"/>
              </w:rPr>
              <w:t>全面推广网上全程电子化表格应用，通过“一表式”填报、一套材料上传、全程数据共享等便捷化体验，提高群众网上申报率。针对需要多部门办理的“一件事情”，</w:t>
            </w:r>
            <w:r>
              <w:rPr>
                <w:rFonts w:hint="eastAsia" w:cs="Times New Roman"/>
                <w:sz w:val="24"/>
                <w:lang w:val="en-US" w:eastAsia="zh-CN"/>
              </w:rPr>
              <w:t>配合</w:t>
            </w:r>
            <w:r>
              <w:rPr>
                <w:rFonts w:hint="default" w:cs="Times New Roman"/>
                <w:sz w:val="24"/>
                <w:lang w:val="en-US" w:eastAsia="zh-CN"/>
              </w:rPr>
              <w:t>牵头部门做好“一件事情”审批服务流程的简化优化和“一窗受理”工作</w:t>
            </w:r>
            <w:r>
              <w:rPr>
                <w:rFonts w:hint="eastAsia" w:cs="Times New Roman"/>
                <w:sz w:val="24"/>
                <w:lang w:val="en-US" w:eastAsia="zh-CN"/>
              </w:rPr>
              <w:t>。</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color w:val="auto"/>
                <w:sz w:val="24"/>
                <w:u w:val="single"/>
              </w:rPr>
            </w:pPr>
            <w:r>
              <w:rPr>
                <w:rFonts w:hint="eastAsia" w:cs="Times New Roman"/>
                <w:color w:val="auto"/>
                <w:sz w:val="24"/>
                <w:lang w:eastAsia="zh-CN"/>
              </w:rPr>
              <w:t>法规处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color w:val="auto"/>
                <w:sz w:val="24"/>
                <w:u w:val="single"/>
                <w:lang w:val="en-US" w:eastAsia="zh-CN"/>
              </w:rPr>
            </w:pPr>
            <w:r>
              <w:rPr>
                <w:rFonts w:hint="eastAsia" w:cs="Times New Roman"/>
                <w:color w:val="auto"/>
                <w:sz w:val="24"/>
                <w:u w:val="none"/>
                <w:lang w:val="en-US" w:eastAsia="zh-CN"/>
              </w:rPr>
              <w:t>文  斌</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color w:val="auto"/>
                <w:sz w:val="24"/>
                <w:u w:val="none"/>
              </w:rPr>
            </w:pPr>
            <w:r>
              <w:rPr>
                <w:rFonts w:cs="Times New Roman"/>
                <w:color w:val="auto"/>
                <w:sz w:val="24"/>
                <w:u w:val="none"/>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6" w:hRule="atLeast"/>
          <w:jc w:val="center"/>
        </w:trPr>
        <w:tc>
          <w:tcPr>
            <w:tcW w:w="10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w:t>
            </w:r>
            <w:r>
              <w:rPr>
                <w:rFonts w:hint="eastAsia" w:cs="Times New Roman"/>
                <w:sz w:val="24"/>
                <w:lang w:eastAsia="zh-CN"/>
              </w:rPr>
              <w:t>四</w:t>
            </w:r>
            <w:r>
              <w:rPr>
                <w:rFonts w:cs="Times New Roman"/>
                <w:sz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hint="eastAsia" w:cs="Times New Roman"/>
                <w:sz w:val="24"/>
                <w:lang w:eastAsia="zh-CN"/>
              </w:rPr>
              <w:t>着力打造可预期营商</w:t>
            </w:r>
            <w:r>
              <w:rPr>
                <w:rFonts w:cs="Times New Roman"/>
                <w:sz w:val="24"/>
              </w:rPr>
              <w:t>环境</w:t>
            </w:r>
          </w:p>
        </w:tc>
        <w:tc>
          <w:tcPr>
            <w:tcW w:w="138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cs="Times New Roman"/>
                <w:sz w:val="24"/>
                <w:lang w:val="en-US" w:eastAsia="zh-CN"/>
              </w:rPr>
            </w:pPr>
            <w:r>
              <w:rPr>
                <w:rFonts w:hint="eastAsia" w:cs="Times New Roman"/>
                <w:sz w:val="24"/>
                <w:lang w:val="en-US" w:eastAsia="zh-CN"/>
              </w:rPr>
              <w:t>12.推进政府诚信建设。</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cs="Times New Roman"/>
                <w:sz w:val="24"/>
                <w:lang w:val="en-US" w:eastAsia="zh-CN"/>
              </w:rPr>
            </w:pPr>
            <w:r>
              <w:rPr>
                <w:rFonts w:hint="default" w:cs="Times New Roman"/>
                <w:sz w:val="24"/>
                <w:lang w:val="en-US" w:eastAsia="zh-CN"/>
              </w:rPr>
              <w:t>加快政府守信践诺机制建设</w:t>
            </w:r>
            <w:r>
              <w:rPr>
                <w:rFonts w:hint="eastAsia" w:cs="Times New Roman"/>
                <w:sz w:val="24"/>
                <w:lang w:val="en-US" w:eastAsia="zh-CN"/>
              </w:rPr>
              <w:t>，加大拖欠民营企业、中小企业资金清理力度，抓紧制定清偿计划，能还尽还、应付尽付、严防新欠。</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color w:val="auto"/>
                <w:sz w:val="24"/>
                <w:u w:val="none"/>
                <w:lang w:eastAsia="zh-CN"/>
              </w:rPr>
            </w:pPr>
            <w:r>
              <w:rPr>
                <w:rFonts w:hint="eastAsia" w:cs="Times New Roman"/>
                <w:color w:val="auto"/>
                <w:sz w:val="24"/>
                <w:u w:val="none"/>
                <w:lang w:eastAsia="zh-CN"/>
              </w:rPr>
              <w:t>基建办</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color w:val="auto"/>
                <w:sz w:val="24"/>
                <w:u w:val="none"/>
                <w:lang w:eastAsia="zh-CN"/>
              </w:rPr>
            </w:pPr>
            <w:r>
              <w:rPr>
                <w:rFonts w:hint="eastAsia" w:cs="Times New Roman"/>
                <w:color w:val="auto"/>
                <w:sz w:val="24"/>
                <w:u w:val="none"/>
                <w:lang w:eastAsia="zh-CN"/>
              </w:rPr>
              <w:t>张学锋</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color w:val="auto"/>
                <w:sz w:val="24"/>
                <w:u w:val="none"/>
              </w:rPr>
            </w:pPr>
            <w:r>
              <w:rPr>
                <w:rFonts w:cs="Times New Roman"/>
                <w:color w:val="auto"/>
                <w:sz w:val="24"/>
                <w:u w:val="none"/>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95" w:hRule="atLeast"/>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tc>
        <w:tc>
          <w:tcPr>
            <w:tcW w:w="138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cs="Times New Roman"/>
                <w:sz w:val="24"/>
                <w:lang w:val="en-US" w:eastAsia="zh-CN"/>
              </w:rPr>
            </w:pPr>
            <w:r>
              <w:rPr>
                <w:rFonts w:hint="eastAsia" w:cs="Times New Roman"/>
                <w:sz w:val="24"/>
                <w:lang w:val="en-US" w:eastAsia="zh-CN"/>
              </w:rPr>
              <w:t>坚持“两个依法纳入预算”，因不能履行、不能兑现给市场主体造成损失需要补偿、赔偿的，应当签定书面协议并依法纳入预算；违约拖欠市场主体货物、工程、服务款项的，应当签定书面还款、赔偿协议并依法纳入预算。</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cs="Times New Roman"/>
                <w:sz w:val="24"/>
                <w:lang w:val="en-US" w:eastAsia="zh-CN"/>
              </w:rPr>
            </w:pPr>
            <w:r>
              <w:rPr>
                <w:rFonts w:hint="eastAsia" w:cs="Times New Roman"/>
                <w:color w:val="auto"/>
                <w:sz w:val="24"/>
                <w:u w:val="none"/>
                <w:lang w:eastAsia="zh-CN"/>
              </w:rPr>
              <w:t>计划财务处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cs="Times New Roman"/>
                <w:sz w:val="24"/>
                <w:lang w:val="en-US" w:eastAsia="zh-CN"/>
              </w:rPr>
            </w:pPr>
            <w:r>
              <w:rPr>
                <w:rFonts w:hint="eastAsia" w:cs="Times New Roman"/>
                <w:color w:val="auto"/>
                <w:sz w:val="24"/>
                <w:u w:val="none"/>
                <w:lang w:val="en-US" w:eastAsia="zh-CN"/>
              </w:rPr>
              <w:t>郑红霞</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cs="Times New Roman"/>
                <w:sz w:val="24"/>
                <w:lang w:val="en-US" w:eastAsia="zh-CN"/>
              </w:rPr>
            </w:pPr>
            <w:r>
              <w:rPr>
                <w:rFonts w:cs="Times New Roman"/>
                <w:color w:val="auto"/>
                <w:sz w:val="24"/>
                <w:u w:val="none"/>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11" w:hRule="atLeast"/>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13.强化社会信用体系建设。</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cs="Times New Roman"/>
                <w:sz w:val="24"/>
              </w:rPr>
            </w:pPr>
            <w:r>
              <w:rPr>
                <w:rFonts w:hint="eastAsia" w:cs="Times New Roman"/>
                <w:sz w:val="24"/>
                <w:lang w:val="en-US" w:eastAsia="zh-CN"/>
              </w:rPr>
              <w:t>配合牵头部门</w:t>
            </w:r>
            <w:r>
              <w:rPr>
                <w:rFonts w:hint="default" w:cs="Times New Roman"/>
                <w:sz w:val="24"/>
                <w:lang w:val="en-US" w:eastAsia="zh-CN"/>
              </w:rPr>
              <w:t>推进涉企信息归集共享，实现企业信用信息有效归集公示</w:t>
            </w:r>
            <w:r>
              <w:rPr>
                <w:rFonts w:hint="eastAsia" w:cs="Times New Roman"/>
                <w:sz w:val="24"/>
                <w:lang w:val="en-US" w:eastAsia="zh-CN"/>
              </w:rPr>
              <w:t>，</w:t>
            </w:r>
            <w:r>
              <w:rPr>
                <w:rFonts w:hint="default" w:cs="Times New Roman"/>
                <w:sz w:val="24"/>
                <w:lang w:val="en-US" w:eastAsia="zh-CN"/>
              </w:rPr>
              <w:t>强化企业公示责任，完善经营异常名录、严重违法失信企业名单制度，让市场主体“一处违法、处处受限”。健全守信联合激励机制</w:t>
            </w:r>
            <w:r>
              <w:rPr>
                <w:rFonts w:hint="eastAsia" w:cs="Times New Roman"/>
                <w:sz w:val="24"/>
                <w:lang w:val="en-US" w:eastAsia="zh-CN"/>
              </w:rPr>
              <w:t>。</w:t>
            </w:r>
            <w:r>
              <w:rPr>
                <w:rFonts w:hint="default" w:cs="Times New Roman"/>
                <w:sz w:val="24"/>
                <w:lang w:val="en-US" w:eastAsia="zh-CN"/>
              </w:rPr>
              <w:t>聚焦重点领域、重点行业、重点企业，</w:t>
            </w:r>
            <w:r>
              <w:rPr>
                <w:rFonts w:hint="eastAsia" w:cs="Times New Roman"/>
                <w:sz w:val="24"/>
                <w:lang w:val="en-US" w:eastAsia="zh-CN"/>
              </w:rPr>
              <w:t>配合牵头部门</w:t>
            </w:r>
            <w:r>
              <w:rPr>
                <w:rFonts w:hint="default" w:cs="Times New Roman"/>
                <w:sz w:val="24"/>
                <w:lang w:val="en-US" w:eastAsia="zh-CN"/>
              </w:rPr>
              <w:t>深入开展诚信行业、诚信单位、诚信经营主体等评选活动，对信用状况良好的市场主体给予政策支持。实行失信联合惩戒机制，推动实现联合惩戒全覆盖。依托省公共信用信息共享平台，实现信用信息互联互通、共享使用，完善市场主体信用档案</w:t>
            </w:r>
            <w:r>
              <w:rPr>
                <w:rFonts w:hint="eastAsia" w:cs="Times New Roman"/>
                <w:sz w:val="24"/>
                <w:lang w:val="en-US" w:eastAsia="zh-CN"/>
              </w:rPr>
              <w:t>。</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hint="eastAsia" w:cs="Times New Roman"/>
                <w:sz w:val="24"/>
                <w:lang w:eastAsia="zh-CN"/>
              </w:rPr>
              <w:t>法规</w:t>
            </w:r>
            <w:r>
              <w:rPr>
                <w:rFonts w:cs="Times New Roman"/>
                <w:sz w:val="24"/>
              </w:rPr>
              <w:t>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sz w:val="24"/>
                <w:lang w:eastAsia="zh-CN"/>
              </w:rPr>
            </w:pPr>
            <w:r>
              <w:rPr>
                <w:rFonts w:hint="eastAsia" w:cs="Times New Roman"/>
                <w:sz w:val="24"/>
                <w:lang w:eastAsia="zh-CN"/>
              </w:rPr>
              <w:t>文</w:t>
            </w:r>
            <w:r>
              <w:rPr>
                <w:rFonts w:hint="eastAsia" w:cs="Times New Roman"/>
                <w:sz w:val="24"/>
                <w:lang w:val="en-US" w:eastAsia="zh-CN"/>
              </w:rPr>
              <w:t xml:space="preserve">  </w:t>
            </w:r>
            <w:r>
              <w:rPr>
                <w:rFonts w:hint="eastAsia" w:cs="Times New Roman"/>
                <w:sz w:val="24"/>
                <w:lang w:eastAsia="zh-CN"/>
              </w:rPr>
              <w:t>斌</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21" w:hRule="atLeast"/>
          <w:jc w:val="center"/>
        </w:trPr>
        <w:tc>
          <w:tcPr>
            <w:tcW w:w="10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w:t>
            </w:r>
            <w:r>
              <w:rPr>
                <w:rFonts w:hint="eastAsia" w:cs="Times New Roman"/>
                <w:sz w:val="24"/>
                <w:lang w:eastAsia="zh-CN"/>
              </w:rPr>
              <w:t>四</w:t>
            </w:r>
            <w:r>
              <w:rPr>
                <w:rFonts w:cs="Times New Roman"/>
                <w:sz w:val="24"/>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hint="eastAsia" w:cs="Times New Roman"/>
                <w:sz w:val="24"/>
                <w:lang w:eastAsia="zh-CN"/>
              </w:rPr>
              <w:t>着力打造可预期营商</w:t>
            </w:r>
            <w:r>
              <w:rPr>
                <w:rFonts w:cs="Times New Roman"/>
                <w:sz w:val="24"/>
              </w:rPr>
              <w:t>环境</w:t>
            </w: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14.激发乡村创新创业活力。</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cs="Times New Roman"/>
                <w:sz w:val="24"/>
                <w:lang w:val="en-US" w:eastAsia="zh-CN"/>
              </w:rPr>
            </w:pPr>
            <w:r>
              <w:rPr>
                <w:rFonts w:hint="eastAsia" w:cs="Times New Roman"/>
                <w:sz w:val="24"/>
                <w:lang w:val="en-US" w:eastAsia="zh-CN"/>
              </w:rPr>
              <w:t>加强农村创新创业服务平台载体建设，组织开展农村创新创业大赛，选拔和培育一批创新创业项目和优秀带头人。加强农产品加工业、休闲农业管理人才培训，为乡村产业发展培育创新创业人才。</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乡村产业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发展处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37" w:hRule="atLeast"/>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15.构建亲清新型政商关系。</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cs="Times New Roman"/>
                <w:sz w:val="24"/>
                <w:lang w:val="en-US" w:eastAsia="zh-CN"/>
              </w:rPr>
            </w:pPr>
            <w:r>
              <w:rPr>
                <w:rFonts w:hint="eastAsia" w:cs="Times New Roman"/>
                <w:sz w:val="24"/>
                <w:lang w:val="en-US" w:eastAsia="zh-CN"/>
              </w:rPr>
              <w:t>建立政企沟通机制，抓好龙头企业培育，细化工作流程，严格执行相关工作程序，做到公开透明、有理有据，为农业产业化和龙头企业发展营造良好环境。</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法规处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文</w:t>
            </w:r>
            <w:r>
              <w:rPr>
                <w:rFonts w:hint="eastAsia" w:cs="Times New Roman"/>
                <w:sz w:val="24"/>
                <w:lang w:val="en-US" w:eastAsia="zh-CN"/>
              </w:rPr>
              <w:t xml:space="preserve">  </w:t>
            </w:r>
            <w:r>
              <w:rPr>
                <w:rFonts w:hint="eastAsia" w:cs="Times New Roman"/>
                <w:sz w:val="24"/>
                <w:lang w:eastAsia="zh-CN"/>
              </w:rPr>
              <w:t>斌</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84" w:hRule="atLeast"/>
          <w:jc w:val="center"/>
        </w:trPr>
        <w:tc>
          <w:tcPr>
            <w:tcW w:w="10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组织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sz w:val="24"/>
                <w:lang w:eastAsia="zh-CN"/>
              </w:rPr>
            </w:pPr>
            <w:r>
              <w:rPr>
                <w:rFonts w:hint="eastAsia" w:cs="Times New Roman"/>
                <w:sz w:val="24"/>
                <w:lang w:eastAsia="zh-CN"/>
              </w:rPr>
              <w:t>保障</w:t>
            </w:r>
          </w:p>
        </w:tc>
        <w:tc>
          <w:tcPr>
            <w:tcW w:w="138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（一）压实工作责任</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将营商环境建设工作纳入省农业农村厅重要议事日程，定期召开会议，研究制定年度营商环境建设实施方案，部署落实营商环境各项重点工作任务。省农业农村厅软环境建设领导小组及其办公室负责统筹协调，涉及营商环境的重点处室和事业单位要各负其责，协同推进。</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sz w:val="24"/>
                <w:lang w:eastAsia="zh-CN"/>
              </w:rPr>
            </w:pPr>
            <w:r>
              <w:rPr>
                <w:rFonts w:hint="eastAsia" w:cs="Times New Roman"/>
                <w:sz w:val="24"/>
                <w:lang w:eastAsia="zh-CN"/>
              </w:rPr>
              <w:t>法规处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文</w:t>
            </w:r>
            <w:r>
              <w:rPr>
                <w:rFonts w:hint="eastAsia" w:cs="Times New Roman"/>
                <w:sz w:val="24"/>
                <w:lang w:val="en-US" w:eastAsia="zh-CN"/>
              </w:rPr>
              <w:t xml:space="preserve">  </w:t>
            </w:r>
            <w:r>
              <w:rPr>
                <w:rFonts w:hint="eastAsia" w:cs="Times New Roman"/>
                <w:sz w:val="24"/>
                <w:lang w:eastAsia="zh-CN"/>
              </w:rPr>
              <w:t>斌</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40" w:hRule="atLeast"/>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pPr>
          </w:p>
        </w:tc>
        <w:tc>
          <w:tcPr>
            <w:tcW w:w="138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加强机关作风建设，切实严肃工作纪律，提高办事效率，增强窗口服务效能。</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val="en-US" w:eastAsia="zh-CN"/>
              </w:rPr>
            </w:pPr>
            <w:r>
              <w:rPr>
                <w:rFonts w:hint="eastAsia" w:cs="Times New Roman"/>
                <w:sz w:val="24"/>
                <w:lang w:val="en-US" w:eastAsia="zh-CN"/>
              </w:rPr>
              <w:t>机关党委</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sz w:val="24"/>
                <w:lang w:val="en-US" w:eastAsia="zh-CN"/>
              </w:rPr>
            </w:pPr>
            <w:r>
              <w:rPr>
                <w:rFonts w:hint="eastAsia" w:cs="Times New Roman"/>
                <w:sz w:val="24"/>
                <w:lang w:val="en-US" w:eastAsia="zh-CN"/>
              </w:rPr>
              <w:t>杨  军</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val="en-US" w:eastAsia="zh-CN"/>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98" w:hRule="atLeast"/>
          <w:jc w:val="center"/>
        </w:trPr>
        <w:tc>
          <w:tcPr>
            <w:tcW w:w="104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组织</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保障</w:t>
            </w: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（二）强化政务公开</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对推进公共资源配置领域政府信息公开、公共资源配置全流程透明化，按照公开时限、范围和方式对决策、执行、管理、服务、结果公开。定期向社会公布落实政策的具体措施，通过政府门户网站、移动终端和社交平台等渠道载体，向市场主体精准推送各类产业发展、企业扶持的优惠政策信息，着力提升政策知晓度和可及性。</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eastAsia="仿宋_GB2312" w:cs="Times New Roman"/>
                <w:sz w:val="24"/>
                <w:lang w:eastAsia="zh-CN"/>
              </w:rPr>
            </w:pPr>
            <w:r>
              <w:rPr>
                <w:rFonts w:hint="eastAsia" w:cs="Times New Roman"/>
                <w:sz w:val="24"/>
                <w:lang w:eastAsia="zh-CN"/>
              </w:rPr>
              <w:t>办公室</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马宏山</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70" w:hRule="atLeast"/>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（三）加强工作调度</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相关各处室和直属事业单位要指定专人负责营商环境建设工作，按季度调度营商环境建设情况，及时汇总营商环境建设信息，上报营商环境建设有关情况和督查、督办的有关事项，强化对国家试评价和国务院第三方评估反馈问题整改。</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hint="eastAsia" w:cs="Times New Roman"/>
                <w:sz w:val="24"/>
                <w:lang w:eastAsia="zh-CN"/>
              </w:rPr>
              <w:t>法规处</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文</w:t>
            </w:r>
            <w:r>
              <w:rPr>
                <w:rFonts w:hint="eastAsia" w:cs="Times New Roman"/>
                <w:sz w:val="24"/>
                <w:lang w:val="en-US" w:eastAsia="zh-CN"/>
              </w:rPr>
              <w:t xml:space="preserve">  </w:t>
            </w:r>
            <w:r>
              <w:rPr>
                <w:rFonts w:hint="eastAsia" w:cs="Times New Roman"/>
                <w:sz w:val="24"/>
                <w:lang w:eastAsia="zh-CN"/>
              </w:rPr>
              <w:t>斌</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16" w:hRule="atLeast"/>
          <w:jc w:val="center"/>
        </w:trPr>
        <w:tc>
          <w:tcPr>
            <w:tcW w:w="104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p>
        </w:tc>
        <w:tc>
          <w:tcPr>
            <w:tcW w:w="138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（四）强化宣传引导</w:t>
            </w:r>
          </w:p>
        </w:tc>
        <w:tc>
          <w:tcPr>
            <w:tcW w:w="6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cs="Times New Roman"/>
                <w:sz w:val="24"/>
                <w:lang w:val="en-US" w:eastAsia="zh-CN"/>
              </w:rPr>
            </w:pPr>
            <w:r>
              <w:rPr>
                <w:rFonts w:hint="eastAsia" w:cs="Times New Roman"/>
                <w:sz w:val="24"/>
                <w:lang w:val="en-US" w:eastAsia="zh-CN"/>
              </w:rPr>
              <w:t>充分利用农博会等展会，加大对外宣传推介力度，营造全社会关注、支持、参与营商环境优化提升工作的良好氛围。通过开设专题专栏、媒体宣传等形式，跟踪报道我厅优化营商环境的特色做法和工作成效。</w:t>
            </w:r>
          </w:p>
        </w:tc>
        <w:tc>
          <w:tcPr>
            <w:tcW w:w="16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宣传中心</w:t>
            </w:r>
          </w:p>
        </w:tc>
        <w:tc>
          <w:tcPr>
            <w:tcW w:w="106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cs="Times New Roman"/>
                <w:sz w:val="24"/>
                <w:lang w:eastAsia="zh-CN"/>
              </w:rPr>
            </w:pPr>
            <w:r>
              <w:rPr>
                <w:rFonts w:hint="eastAsia" w:cs="Times New Roman"/>
                <w:sz w:val="24"/>
                <w:lang w:eastAsia="zh-CN"/>
              </w:rPr>
              <w:t>孙</w:t>
            </w:r>
            <w:r>
              <w:rPr>
                <w:rFonts w:hint="eastAsia" w:cs="Times New Roman"/>
                <w:sz w:val="24"/>
                <w:lang w:val="en-US" w:eastAsia="zh-CN"/>
              </w:rPr>
              <w:t xml:space="preserve">  </w:t>
            </w:r>
            <w:r>
              <w:rPr>
                <w:rFonts w:hint="eastAsia" w:cs="Times New Roman"/>
                <w:sz w:val="24"/>
                <w:lang w:eastAsia="zh-CN"/>
              </w:rPr>
              <w:t>策</w:t>
            </w:r>
          </w:p>
        </w:tc>
        <w:tc>
          <w:tcPr>
            <w:tcW w:w="15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cs="Times New Roman"/>
                <w:sz w:val="24"/>
              </w:rPr>
            </w:pPr>
            <w:r>
              <w:rPr>
                <w:rFonts w:cs="Times New Roman"/>
                <w:sz w:val="24"/>
              </w:rPr>
              <w:t>相关处室和直属单位</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cs="Times New Roman"/>
        </w:rPr>
      </w:pPr>
    </w:p>
    <w:sectPr>
      <w:footerReference r:id="rId3" w:type="default"/>
      <w:pgSz w:w="16838" w:h="11906" w:orient="landscape"/>
      <w:pgMar w:top="1440" w:right="1797" w:bottom="1440" w:left="1797" w:header="851" w:footer="992" w:gutter="0"/>
      <w:cols w:space="425" w:num="1"/>
      <w:docGrid w:type="lines" w:linePitch="636" w:charSpace="-3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rPr>
        <w:lang w:val="zh-CN"/>
      </w:rPr>
      <w:fldChar w:fldCharType="end"/>
    </w:r>
  </w:p>
  <w:p>
    <w:pPr>
      <w:pStyle w:val="3"/>
      <w:tabs>
        <w:tab w:val="center" w:pos="6859"/>
        <w:tab w:val="clear" w:pos="4153"/>
        <w:tab w:val="clear" w:pos="8306"/>
      </w:tabs>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52"/>
  <w:drawingGridVerticalSpacing w:val="31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7C2E"/>
    <w:rsid w:val="0018248E"/>
    <w:rsid w:val="001E4A94"/>
    <w:rsid w:val="002A4BD5"/>
    <w:rsid w:val="00455977"/>
    <w:rsid w:val="006154D3"/>
    <w:rsid w:val="006A4D0D"/>
    <w:rsid w:val="006B05CD"/>
    <w:rsid w:val="006B54ED"/>
    <w:rsid w:val="006C00B6"/>
    <w:rsid w:val="00732A61"/>
    <w:rsid w:val="00815E96"/>
    <w:rsid w:val="00834E64"/>
    <w:rsid w:val="009C5A65"/>
    <w:rsid w:val="00AE544E"/>
    <w:rsid w:val="00B411A9"/>
    <w:rsid w:val="00B77131"/>
    <w:rsid w:val="00B77C2E"/>
    <w:rsid w:val="00BC6B3E"/>
    <w:rsid w:val="00BE32D6"/>
    <w:rsid w:val="00C4134D"/>
    <w:rsid w:val="00CC092D"/>
    <w:rsid w:val="00CC74D6"/>
    <w:rsid w:val="00CF2855"/>
    <w:rsid w:val="00D1364C"/>
    <w:rsid w:val="00F6206E"/>
    <w:rsid w:val="0A7D4F61"/>
    <w:rsid w:val="0B7D0AEE"/>
    <w:rsid w:val="0DBC2267"/>
    <w:rsid w:val="0EAC2342"/>
    <w:rsid w:val="11714AE2"/>
    <w:rsid w:val="15FC1685"/>
    <w:rsid w:val="179D067C"/>
    <w:rsid w:val="1EC027EA"/>
    <w:rsid w:val="20302DDD"/>
    <w:rsid w:val="21351690"/>
    <w:rsid w:val="246E2634"/>
    <w:rsid w:val="28AC1ED7"/>
    <w:rsid w:val="2B7F50EF"/>
    <w:rsid w:val="2C3426A7"/>
    <w:rsid w:val="2E28592C"/>
    <w:rsid w:val="2FFA64BA"/>
    <w:rsid w:val="30284F5C"/>
    <w:rsid w:val="32010AF4"/>
    <w:rsid w:val="368A2766"/>
    <w:rsid w:val="38007B66"/>
    <w:rsid w:val="3DA341C1"/>
    <w:rsid w:val="46035808"/>
    <w:rsid w:val="4A2E1DC8"/>
    <w:rsid w:val="4DFA6136"/>
    <w:rsid w:val="56B22920"/>
    <w:rsid w:val="591B6C75"/>
    <w:rsid w:val="66A8011E"/>
    <w:rsid w:val="6A3B0C32"/>
    <w:rsid w:val="6B516EAF"/>
    <w:rsid w:val="6B7900B3"/>
    <w:rsid w:val="6C135E91"/>
    <w:rsid w:val="6DDD2C37"/>
    <w:rsid w:val="75940B45"/>
    <w:rsid w:val="79C77E7A"/>
    <w:rsid w:val="7ED27FE8"/>
    <w:rsid w:val="7F8D5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0"/>
      <w:sz w:val="32"/>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仿宋_GB2312"/>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CF0CCE-D77B-461D-B9E4-844DBD67320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412</Words>
  <Characters>2350</Characters>
  <Lines>19</Lines>
  <Paragraphs>5</Paragraphs>
  <TotalTime>15</TotalTime>
  <ScaleCrop>false</ScaleCrop>
  <LinksUpToDate>false</LinksUpToDate>
  <CharactersWithSpaces>2757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2019-11-13T07:23:00Z</dcterms:created>
  <dc:creator>微软用户</dc:creator>
  <cp:lastModifiedBy>张崇明</cp:lastModifiedBy>
  <cp:lastPrinted>2019-11-26T08:46:00Z</cp:lastPrinted>
  <dcterms:modified xsi:type="dcterms:W3CDTF">2020-07-17T06:54:06Z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