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bookmarkStart w:id="0" w:name="_GoBack"/>
      <w:bookmarkEnd w:id="0"/>
    </w:p>
    <w:p>
      <w:pPr>
        <w:widowControl/>
        <w:spacing w:line="60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widowControl/>
        <w:spacing w:line="600" w:lineRule="exact"/>
        <w:jc w:val="center"/>
        <w:rPr>
          <w:rFonts w:hint="default" w:ascii="Times New Roman" w:hAnsi="Times New Roman" w:eastAsia="华文中宋" w:cs="Times New Roman"/>
          <w:b/>
          <w:color w:val="auto"/>
          <w:kern w:val="2"/>
          <w:sz w:val="36"/>
          <w:szCs w:val="36"/>
        </w:rPr>
      </w:pPr>
      <w:r>
        <w:rPr>
          <w:rFonts w:hint="default" w:ascii="Times New Roman" w:hAnsi="Times New Roman" w:eastAsia="华文中宋" w:cs="Times New Roman"/>
          <w:b/>
          <w:color w:val="auto"/>
          <w:kern w:val="2"/>
          <w:sz w:val="36"/>
          <w:szCs w:val="36"/>
        </w:rPr>
        <w:t>到2025年化肥减量化行动方案</w:t>
      </w:r>
    </w:p>
    <w:p>
      <w:pPr>
        <w:spacing w:line="600" w:lineRule="exact"/>
        <w:jc w:val="center"/>
        <w:rPr>
          <w:rFonts w:hint="default" w:ascii="Times New Roman" w:hAnsi="Times New Roman" w:eastAsia="楷体" w:cs="Times New Roman"/>
          <w:color w:val="auto"/>
          <w:sz w:val="32"/>
          <w:szCs w:val="32"/>
        </w:rPr>
      </w:pPr>
    </w:p>
    <w:p>
      <w:pPr>
        <w:snapToGrid w:val="0"/>
        <w:spacing w:line="60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>2015年开始，农业农村部组织实施到2020年化肥使用量零增长行动，推动农作物化肥用量持续下降、利用效率不断提高。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“十四五”时期</w:t>
      </w:r>
      <w:r>
        <w:rPr>
          <w:rFonts w:ascii="Times New Roman" w:hAnsi="Times New Roman" w:eastAsia="仿宋_GB2312"/>
          <w:color w:val="auto"/>
          <w:sz w:val="32"/>
          <w:szCs w:val="32"/>
        </w:rPr>
        <w:t>是开启全面建设社会主义现代化国家新征程、向第二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个百年奋</w:t>
      </w:r>
      <w:r>
        <w:rPr>
          <w:rFonts w:ascii="Times New Roman" w:hAnsi="Times New Roman" w:eastAsia="仿宋_GB2312"/>
          <w:color w:val="auto"/>
          <w:sz w:val="32"/>
          <w:szCs w:val="32"/>
        </w:rPr>
        <w:t>斗目标进军的第一个五年，是促进经济发展全面绿色转型、建设人与自然和谐共生现代化的关键时期，农业发展进入加快推进绿色转型的新阶段。完整、准确、全面贯彻新发展理念，统筹兼顾保障粮食等重要农产品有效供给和持续改善环境质量，需要持续推进科学施肥、促进化肥减量增效，为保障粮食安全和绿色高质量发展提供更加有力支撑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一、现状和形势</w:t>
      </w:r>
    </w:p>
    <w:p>
      <w:pPr>
        <w:snapToGrid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各地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深入推进实施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化肥使用量零增长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行动，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科学施肥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理念不断强化，科学施肥技术不断创新，科学施肥措施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不断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落地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，为粮食产量稳定在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1.3万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亿斤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以上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促进种植业绿色高质量发展提供了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重要支撑。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eastAsia="zh-CN" w:bidi="ar-SA"/>
        </w:rPr>
        <w:t>一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是化肥用量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eastAsia="zh-CN" w:bidi="ar-SA"/>
        </w:rPr>
        <w:t>连续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下降。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更大范围更高层次推进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测土配方施肥，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加快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有机肥替代化肥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广应用微生物肥料等新型肥料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，农用化肥施用量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连续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6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保持下降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。2021年全国农用化肥施用量5191万吨（折纯）、比2015年减少13.8%。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二是施肥结构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eastAsia="zh-CN" w:bidi="ar-SA"/>
        </w:rPr>
        <w:t>更加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优化。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制定水稻、小麦、玉米、油菜等作物氮肥定额用量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分农时分作物发布科学施肥技术意见，指导科学选肥用肥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氮磷钾施用比例由2015年的1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: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0.5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3: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0.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36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调整到1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: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0.49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: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0.4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，控磷增钾效果明显，复合化率进一步提高。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eastAsia="zh-CN" w:bidi="ar-SA"/>
        </w:rPr>
        <w:t>三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是施肥方式不断改进。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推广应用高效施肥技术，测土配方施肥技术覆盖率保持在90%以上，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配方肥占三大粮食作物施肥总量60%以上，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盲目施肥和过量施肥现象得到基本遏制。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四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是化肥利用率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eastAsia="zh-CN" w:bidi="ar-SA"/>
        </w:rPr>
        <w:t>明显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提升。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实施一批重点项目，推广一批科学施肥模式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，2021年我国水稻、小麦、玉米三大粮食作物化肥利用率达到40%以上，比2015年提高5个百分点。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eastAsia="zh-CN" w:bidi="ar-SA"/>
        </w:rPr>
        <w:t>五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是管理机制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eastAsia="zh-CN" w:bidi="ar-SA"/>
        </w:rPr>
        <w:t>逐步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完善。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强化有机肥、微生物肥等新型肥料登记管理，将大量元素水溶肥料等7类肥料由登记改为备案，开展肥料质量监督抽查，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加强肥料标准体系建设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，引导肥料产业转型升级。</w:t>
      </w:r>
    </w:p>
    <w:p>
      <w:pPr>
        <w:spacing w:line="600" w:lineRule="exact"/>
        <w:ind w:firstLine="640" w:firstLineChars="200"/>
        <w:rPr>
          <w:rFonts w:hint="default"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  <w:highlight w:val="none"/>
        </w:rPr>
        <w:t>“十四五”时期是加快推进农业绿色发展的重要战略机遇期，推动农业绿色发展取得新的更大突破，对化肥减量增效提出更高的要求。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一是稳粮保供任务更重。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eastAsia="zh-CN" w:bidi="ar-SA"/>
        </w:rPr>
        <w:t>全方位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夯实粮食安全根基，确保中国人的饭碗牢牢端在自己手中，是当前和今后一个时期农业农村工作的重点任务。推进投入品减量化，既要将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不合理的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化肥用量减下来，也不能以牺牲产量为代价，减量化工作面临新挑战。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二是绿色发展要求更高。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eastAsia="zh-CN" w:bidi="ar-SA"/>
        </w:rPr>
        <w:t>促进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资源利用集约化、产业模式生态化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发展方式绿色化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，是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改善生态环境、促进农业绿色发展的主攻方向，加力推进化肥减量化是必然要求。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三是科学施肥需求更迫切。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我国农作物亩均化肥用量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世界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先进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水平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仍有一定差距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，不同区域、不同作物、不同经营主体施肥不均衡还较为突出。化肥品种相对单一、氮肥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磷肥不合理使用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、中微量元素缺乏的问题尚未解决。有机肥资源还田率偏低。</w:t>
      </w:r>
      <w:r>
        <w:rPr>
          <w:rFonts w:ascii="Times New Roman" w:hAnsi="Times New Roman" w:eastAsia="仿宋_GB2312"/>
          <w:kern w:val="0"/>
          <w:sz w:val="32"/>
          <w:szCs w:val="32"/>
        </w:rPr>
        <w:t>面对这些新形势、新要求，必须加大工作力度，采取综合措施，扎实推进化肥减量化工作。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二、总体要求</w:t>
      </w:r>
    </w:p>
    <w:p>
      <w:pPr>
        <w:snapToGrid w:val="0"/>
        <w:spacing w:line="600" w:lineRule="exact"/>
        <w:ind w:firstLine="643" w:firstLineChars="200"/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</w:rPr>
        <w:t>（一）指导思想</w:t>
      </w:r>
    </w:p>
    <w:p>
      <w:pPr>
        <w:adjustRightIn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/>
        </w:rPr>
        <w:t>以习近平新时代中国特色社会主义思想为指导，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全面贯彻党的二十大精神，完整、准确、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/>
        </w:rPr>
        <w:t>全面贯彻新发展理念，以保障粮食和重要农产品有效供给、促进种植业绿色高质量发展为目标，坚持科研推广管理全行业协同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、生产使用评价全链条推进，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/>
        </w:rPr>
        <w:t>加快构建现代科学施肥技术体系、管理体系和制度体系，着力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科学施肥、精准施肥、绿色施肥，推进机械施肥、水肥一体、多元替代，加强肥料新产品、新技术、新装备集成创新和推广应用，促进施肥精准化、智能化、绿色化、专业化，实现化肥减量增效和肥料产业高质量发展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/>
        </w:rPr>
        <w:t>为稳粮保供、绿色发展、乡村振兴提供有力支撑。</w:t>
      </w:r>
    </w:p>
    <w:p>
      <w:pPr>
        <w:snapToGrid w:val="0"/>
        <w:spacing w:line="600" w:lineRule="exact"/>
        <w:ind w:firstLine="643" w:firstLineChars="200"/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</w:rPr>
        <w:t>（二）基本原则</w:t>
      </w:r>
    </w:p>
    <w:p>
      <w:pPr>
        <w:spacing w:line="600" w:lineRule="exact"/>
        <w:ind w:firstLine="643" w:firstLineChars="200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cs="Times New Roman"/>
          <w:b/>
          <w:bCs/>
          <w:color w:val="auto"/>
          <w:sz w:val="32"/>
          <w:szCs w:val="32"/>
        </w:rPr>
        <w:t>——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</w:rPr>
        <w:t>创新驱动，科技支撑。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强化创新在化肥减量化中的支撑作用，聚焦新技术、新产品、新装备，推动科技集成创新，突破一批重大瓶颈问题，推动科学施肥提档升级。</w:t>
      </w:r>
    </w:p>
    <w:p>
      <w:pPr>
        <w:spacing w:line="600" w:lineRule="exact"/>
        <w:ind w:firstLine="643" w:firstLineChars="200"/>
        <w:rPr>
          <w:rFonts w:hint="default" w:ascii="Times New Roman" w:hAnsi="Times New Roman" w:cs="Times New Roman"/>
          <w:color w:val="auto"/>
          <w:sz w:val="32"/>
          <w:szCs w:val="32"/>
        </w:rPr>
      </w:pPr>
      <w:r>
        <w:rPr>
          <w:rFonts w:hint="default" w:ascii="Times New Roman" w:hAnsi="Times New Roman" w:cs="Times New Roman"/>
          <w:b/>
          <w:bCs/>
          <w:color w:val="auto"/>
          <w:sz w:val="32"/>
          <w:szCs w:val="32"/>
        </w:rPr>
        <w:t>——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</w:rPr>
        <w:t>科学施肥，多元替代。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坚持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因土施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肥、按需用肥，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避免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过量施肥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盲目减肥。科学施用有机肥，推广应用新型肥料，推进绿肥种植和秸秆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多样化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还田，挖掘土壤养分有效性，减少化肥用量。</w:t>
      </w:r>
    </w:p>
    <w:p>
      <w:pPr>
        <w:pStyle w:val="2"/>
        <w:spacing w:line="600" w:lineRule="exact"/>
        <w:ind w:firstLine="643"/>
        <w:rPr>
          <w:rFonts w:hint="default" w:ascii="Times New Roman" w:hAnsi="Times New Roman" w:cs="Times New Roman"/>
          <w:color w:val="auto"/>
          <w:szCs w:val="32"/>
        </w:rPr>
      </w:pPr>
      <w:r>
        <w:rPr>
          <w:rFonts w:hint="default" w:ascii="Times New Roman" w:hAnsi="Times New Roman" w:cs="Times New Roman"/>
          <w:b/>
          <w:bCs/>
          <w:color w:val="auto"/>
          <w:szCs w:val="32"/>
        </w:rPr>
        <w:t>——</w:t>
      </w:r>
      <w:r>
        <w:rPr>
          <w:rFonts w:hint="default" w:ascii="Times New Roman" w:hAnsi="Times New Roman" w:eastAsia="楷体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因地制宜，综合施策。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以粮食主产区、重要农产品生产保护区和长江经济带、黄河流域等生态治理压力大的区域为重点，针对突出问题，综合运用科技、经济、行政等手段，统筹推进化肥减量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 w:bidi="ar-SA"/>
        </w:rPr>
        <w:t>化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。</w:t>
      </w:r>
    </w:p>
    <w:p>
      <w:pPr>
        <w:pStyle w:val="2"/>
        <w:spacing w:line="600" w:lineRule="exact"/>
        <w:ind w:firstLine="643"/>
        <w:rPr>
          <w:rFonts w:hint="default" w:ascii="Times New Roman" w:hAnsi="Times New Roman" w:cs="Times New Roman"/>
          <w:color w:val="auto"/>
          <w:szCs w:val="32"/>
        </w:rPr>
      </w:pPr>
      <w:r>
        <w:rPr>
          <w:rFonts w:hint="default" w:ascii="Times New Roman" w:hAnsi="Times New Roman" w:cs="Times New Roman"/>
          <w:b/>
          <w:bCs/>
          <w:color w:val="auto"/>
          <w:szCs w:val="32"/>
        </w:rPr>
        <w:t>——</w:t>
      </w:r>
      <w:r>
        <w:rPr>
          <w:rFonts w:hint="default" w:ascii="Times New Roman" w:hAnsi="Times New Roman" w:eastAsia="楷体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创建模式，构建机制。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加强技术熟化和集成应用，创建推广一批科学施肥技术模式，积极发展统测统配、智能配肥、代施代管等农化服务，探索构建施肥定额制、台账制等长效机制。</w:t>
      </w:r>
    </w:p>
    <w:p>
      <w:pPr>
        <w:pStyle w:val="2"/>
        <w:spacing w:line="600" w:lineRule="exact"/>
        <w:ind w:firstLine="643"/>
        <w:rPr>
          <w:rFonts w:hint="default" w:ascii="Times New Roman" w:hAnsi="Times New Roman" w:eastAsia="仿宋" w:cs="Times New Roman"/>
          <w:color w:val="auto"/>
        </w:rPr>
      </w:pPr>
      <w:r>
        <w:rPr>
          <w:rFonts w:hint="default" w:ascii="Times New Roman" w:hAnsi="Times New Roman" w:cs="Times New Roman"/>
          <w:b/>
          <w:bCs/>
          <w:color w:val="auto"/>
          <w:szCs w:val="32"/>
        </w:rPr>
        <w:t>——</w:t>
      </w:r>
      <w:r>
        <w:rPr>
          <w:rFonts w:hint="default" w:ascii="Times New Roman" w:hAnsi="Times New Roman" w:eastAsia="楷体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政府引导，整合资源。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发挥政府引导作用，强化政策扶持和资金支持，夯实科学施肥公益性基础。充分发挥经营主体的主力作用，撬动社会力量广泛参与，汇聚化肥减量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 w:bidi="ar-SA"/>
        </w:rPr>
        <w:t>化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合力。</w:t>
      </w:r>
    </w:p>
    <w:p>
      <w:pPr>
        <w:snapToGrid w:val="0"/>
        <w:spacing w:line="600" w:lineRule="exact"/>
        <w:ind w:firstLine="643" w:firstLineChars="200"/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</w:rPr>
        <w:t>（三）目标任务</w:t>
      </w:r>
    </w:p>
    <w:p>
      <w:pPr>
        <w:adjustRightIn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建立健全以“高产、优质、经济、环保”为导向的现代科学施肥技术体系，完善肥效监测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评价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体系，探索建立公益性与市场化融合互补的“一主多元”科学施肥推广服务体系，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加快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构建完备的化肥减量化法规政策、制度标准和工作机制，着力实现“一减三提”。</w:t>
      </w:r>
    </w:p>
    <w:p>
      <w:pPr>
        <w:pStyle w:val="2"/>
        <w:spacing w:line="600" w:lineRule="exact"/>
        <w:ind w:firstLine="640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</w:rPr>
        <w:t>——</w:t>
      </w:r>
      <w:r>
        <w:rPr>
          <w:rFonts w:hint="default" w:ascii="Times New Roman" w:hAnsi="Times New Roman" w:eastAsia="楷体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进一步减少农用化肥施用总量。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到2025年，氮、磷、钾和中微量元素等养分结构更加合理，全国农用化肥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 w:bidi="ar-SA"/>
        </w:rPr>
        <w:t>施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用量实现稳中有降。</w:t>
      </w:r>
    </w:p>
    <w:p>
      <w:pPr>
        <w:spacing w:line="600" w:lineRule="exact"/>
        <w:ind w:firstLine="640" w:firstLineChars="200"/>
        <w:rPr>
          <w:rFonts w:hint="default" w:ascii="Times New Roman" w:hAnsi="Times New Roman" w:cs="Times New Roman"/>
          <w:color w:val="auto"/>
          <w:sz w:val="32"/>
          <w:szCs w:val="32"/>
        </w:rPr>
      </w:pPr>
      <w:r>
        <w:rPr>
          <w:rFonts w:hint="default" w:ascii="Times New Roman" w:hAnsi="Times New Roman" w:cs="Times New Roman"/>
          <w:color w:val="auto"/>
          <w:sz w:val="32"/>
          <w:szCs w:val="32"/>
        </w:rPr>
        <w:t>——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</w:rPr>
        <w:t>进一步提高有机肥资源还田量。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大力推进绿色种养循环农业试点，有机肥资源得到有效合理还田利用，到2025年有机肥施用面积占比增加5个百分点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以上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。</w:t>
      </w:r>
    </w:p>
    <w:p>
      <w:pPr>
        <w:pStyle w:val="2"/>
        <w:spacing w:line="600" w:lineRule="exact"/>
        <w:ind w:firstLine="640"/>
        <w:rPr>
          <w:rFonts w:hint="default" w:ascii="Times New Roman" w:hAnsi="Times New Roman" w:cs="Times New Roman"/>
          <w:color w:val="auto"/>
          <w:szCs w:val="32"/>
        </w:rPr>
      </w:pPr>
      <w:r>
        <w:rPr>
          <w:rFonts w:hint="default" w:ascii="Times New Roman" w:hAnsi="Times New Roman" w:cs="Times New Roman"/>
          <w:color w:val="auto"/>
          <w:szCs w:val="32"/>
        </w:rPr>
        <w:t>——</w:t>
      </w:r>
      <w:r>
        <w:rPr>
          <w:rFonts w:hint="default" w:ascii="Times New Roman" w:hAnsi="Times New Roman" w:eastAsia="楷体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进一步提高测土配方施肥覆盖率。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持续推进农户调查、田间试验、制定配方等基础性工作，到2025年全国主要农作物测土配方施肥技术覆盖率稳定在90%以上。</w:t>
      </w:r>
    </w:p>
    <w:p>
      <w:pPr>
        <w:pStyle w:val="2"/>
        <w:spacing w:line="600" w:lineRule="exact"/>
        <w:ind w:firstLine="640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cs="Times New Roman"/>
          <w:color w:val="auto"/>
          <w:szCs w:val="32"/>
        </w:rPr>
        <w:t>——</w:t>
      </w:r>
      <w:r>
        <w:rPr>
          <w:rFonts w:hint="default" w:ascii="Times New Roman" w:hAnsi="Times New Roman" w:eastAsia="楷体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进一步提高化肥利用率。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推广施肥新技术、新产品和新机具，全面提升科学施肥水平，到2025年全国三大粮食作物化肥利用率达到43%。</w:t>
      </w:r>
    </w:p>
    <w:p>
      <w:pPr>
        <w:adjustRightIn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Cs/>
          <w:color w:val="auto"/>
          <w:kern w:val="2"/>
          <w:sz w:val="32"/>
          <w:szCs w:val="22"/>
        </w:rPr>
      </w:pPr>
      <w:r>
        <w:rPr>
          <w:rFonts w:hint="default" w:ascii="Times New Roman" w:hAnsi="Times New Roman" w:eastAsia="黑体" w:cs="Times New Roman"/>
          <w:bCs/>
          <w:color w:val="auto"/>
          <w:kern w:val="2"/>
          <w:sz w:val="32"/>
          <w:szCs w:val="22"/>
        </w:rPr>
        <w:t>三、技术路径和区域措施</w:t>
      </w:r>
    </w:p>
    <w:p>
      <w:pPr>
        <w:snapToGrid w:val="0"/>
        <w:spacing w:line="600" w:lineRule="exact"/>
        <w:ind w:firstLine="643" w:firstLineChars="200"/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</w:rPr>
        <w:t>（一）技术路径</w:t>
      </w:r>
    </w:p>
    <w:p>
      <w:pPr>
        <w:spacing w:line="600" w:lineRule="exact"/>
        <w:ind w:firstLine="643" w:firstLineChars="200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</w:rPr>
        <w:t>一是“精”，精准施肥减量增效。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夯实施肥情况调查、营养诊断、田间试验等测土配方施肥基础，精准制定发布肥料配方信息，提高配方肥、专用肥施用比例，减少不合理养分投入。</w:t>
      </w:r>
    </w:p>
    <w:p>
      <w:pPr>
        <w:spacing w:line="600" w:lineRule="exact"/>
        <w:ind w:firstLine="643" w:firstLineChars="200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</w:rPr>
        <w:t>二是“调”，调优结构减量增效。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加大绿色技术和投入品的研发推广力度，优化氮、磷、钾配比，调整养分形态配合，促进高效吸收。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针对性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补施中量和微量元素，减轻缺素症状。引导肥料产品优化升级，大力推广新型功能性、增效肥料。</w:t>
      </w:r>
    </w:p>
    <w:p>
      <w:pPr>
        <w:spacing w:line="600" w:lineRule="exact"/>
        <w:ind w:firstLine="643" w:firstLineChars="200"/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</w:rPr>
        <w:t>三是“改”，改进方式减量增效。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改进传统的表施、撒施、大水冲施等施肥方式，研发先进适用的施肥设备，推广应用种肥同播机、侧深施肥机等高效施肥机械，配套缓控释肥料和专用肥料，转变传统施肥方式，减少化肥用量。</w:t>
      </w:r>
    </w:p>
    <w:p>
      <w:pPr>
        <w:spacing w:line="600" w:lineRule="exact"/>
        <w:ind w:firstLine="643" w:firstLineChars="200"/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</w:rPr>
        <w:t>四是“替”，多元替代减量增效。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合理利用有机养分资源，推进增施有机肥、种植绿肥、秸秆还田、生物固氮等多元替代化肥方式，推动有机无机结合。通过耕层调控、微生物活化等技术，激发土壤养分有效性，替代化肥投入。</w:t>
      </w:r>
    </w:p>
    <w:p>
      <w:pPr>
        <w:spacing w:line="600" w:lineRule="exact"/>
        <w:ind w:firstLine="643" w:firstLineChars="200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</w:rPr>
        <w:t>五是“管”，科学监管减量增效。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健全覆盖肥料生产、使用、监管全链条的制度标准体系，建立健全主要农作物氮肥施用定额，推行施肥定额制、台账制管理，分区域、分作物、分农时制定科学施肥指导意见，引导农民把施肥量控制在合理区间。</w:t>
      </w:r>
    </w:p>
    <w:p>
      <w:pPr>
        <w:snapToGrid w:val="0"/>
        <w:spacing w:line="600" w:lineRule="exact"/>
        <w:ind w:firstLine="643" w:firstLineChars="200"/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</w:rPr>
        <w:t>（二）区域措施</w:t>
      </w:r>
    </w:p>
    <w:p>
      <w:pPr>
        <w:spacing w:line="600" w:lineRule="exact"/>
        <w:ind w:firstLine="643" w:firstLineChars="200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</w:rPr>
        <w:t>东北地区。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施肥原则：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限氮、限磷、控钾，补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充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钙、镁、硫、锌、硼、钼等中微量元素肥料。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主要措施：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实施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秸秆还田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粮豆轮作，增施有机肥；推广机械深施技术，适时适量追肥；在土壤水肥保持能力强和地膜覆盖种植区，推广一次性施肥技术；风沙土、酸性土区域补施钙镁肥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土壤pH值高、产量水平高、缺锌区域增施锌肥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长期施用氯基复合肥区域适当改施硫基复合肥或含硫肥料；玉米推广高效缓控释肥料深施和水肥一体化技术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水稻推广机插秧侧深施肥技术，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适量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增施硅肥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大豆、花生推广接种根瘤菌剂，增施硼、钼等微量元素肥料。</w:t>
      </w:r>
    </w:p>
    <w:p>
      <w:pPr>
        <w:spacing w:line="600" w:lineRule="exact"/>
        <w:ind w:firstLine="643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</w:rPr>
        <w:t>华北地区。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施肥原则：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减氮、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控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磷、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稳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钾，补充硫、镁、锌、铁、锰、硼等中微量元素。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主要措施：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开展周期性深耕深松和保护性耕作，实施小麦、玉米秸秆还田，合理调控钾肥用量；大力推广配方肥和增效肥料，加强小麦水肥耦合、氮肥后移和“一喷三防”全程配套，提升玉米种肥同播作业质量，注重周年磷肥调控；大豆、花生推广接种根瘤菌剂，增施硼、钼等微量元素肥料；蔬菜、果树强化有机无机配合，推广机械施肥和水肥一体化技术，控制化肥用量；施用有机肥和土壤调理剂，发展果园绿肥，改善土壤理化性状。</w:t>
      </w:r>
    </w:p>
    <w:p>
      <w:pPr>
        <w:pStyle w:val="2"/>
        <w:spacing w:line="600" w:lineRule="exact"/>
        <w:ind w:firstLine="643"/>
        <w:rPr>
          <w:rFonts w:hint="default" w:ascii="Times New Roman" w:hAnsi="Times New Roman" w:cs="Times New Roman"/>
          <w:color w:val="auto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长江中下游地区。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施肥原则：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分区控肥、调优结构，适量减氮、控磷稳钾，优化运筹、调整形态，补充硫、锌、硼等中微量元素。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主要措施：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试行氮肥定额制、施肥台账制；大力推广作物专用肥、配方肥、水溶肥、有机无机复混肥等新型肥料，提高机械深施、秸秆还田、有机肥替代化肥等技术到位率；在适宜区域发展冬闲田绿肥，推广果园、茶园绿肥种植；油菜基肥深施或种肥同播，适量补充硼肥；注重农机农艺融合，发展轻简化施肥配套技术，设施农业、果园推广水肥一体化技术。</w:t>
      </w:r>
    </w:p>
    <w:p>
      <w:pPr>
        <w:spacing w:line="600" w:lineRule="exact"/>
        <w:ind w:firstLine="643" w:firstLineChars="200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</w:rPr>
        <w:t>华南地区。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施肥原则：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稳氮为主、兼顾减量，减磷补钾，补充钙、镁、锌、硼等中微量元素。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主要措施：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试行氮肥定额制；大力推广缓控释肥、水溶肥、微生物肥等新型肥料，提高配方施肥、机械深施、秸秆还田、有机肥替代化肥等技术到位率；注重利用钙镁磷肥、石灰、白云石粉、含硅碱性肥料等改良酸化土壤，在适宜区域发展冬闲田豆科绿肥；注重农机农艺融合，发展轻简化施肥配套技术，设施农业、果园推广水肥一体化技术。</w:t>
      </w:r>
    </w:p>
    <w:p>
      <w:pPr>
        <w:spacing w:line="600" w:lineRule="exact"/>
        <w:ind w:firstLine="643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</w:rPr>
        <w:t>西南地区。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施肥原则：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减氮、减磷、调钾，配合施用镁、硼、锌、铁、钙等中微量元素。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主要措施：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粮食作物大力推广配方肥、专用肥等高效新型肥料，提高测土配方施肥、机械深施和秸秆还田技术到位率，恢复发展冬闲田绿肥种植；蔬菜、果树注重有机无机配合，合理施用有机肥料，发展果园绿肥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种植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，注重应用新型肥料，补充中微量元素肥料，大力推广水肥一体化技术，全面控制化肥用量；注重利用钙镁磷肥、石灰、含硅碱性肥料等改良酸化土壤。</w:t>
      </w:r>
    </w:p>
    <w:p>
      <w:pPr>
        <w:pStyle w:val="2"/>
        <w:spacing w:line="600" w:lineRule="exact"/>
        <w:ind w:firstLine="643"/>
        <w:rPr>
          <w:rFonts w:hint="default" w:ascii="Times New Roman" w:hAnsi="Times New Roman" w:eastAsia="仿宋" w:cs="Times New Roman"/>
          <w:b/>
          <w:color w:val="auto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西北地区。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施肥原则：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以水定产、测土施肥，稳氮、控磷、调钾，合理配施硫、锌、硒、钼等中微量元素。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主要措施：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大力推广缓控释肥、水溶肥、微生物肥等新型肥料，提高测土配方施肥、机械深施、水肥一体化和秸秆还田技术到位率；实施保护性耕作、秸秆还田和绿肥种植，增施有机肥，改良盐碱地和沙化土壤；在雨养旱作区推广缓控释肥料和配方肥，扩大机械深施面积；在灌溉区采用水肥一体化技术，推广作物专用肥，控制氮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 w:bidi="ar-SA"/>
        </w:rPr>
        <w:t>肥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磷肥用量。</w:t>
      </w:r>
    </w:p>
    <w:p>
      <w:pPr>
        <w:adjustRightIn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Cs/>
          <w:color w:val="auto"/>
          <w:kern w:val="2"/>
          <w:sz w:val="32"/>
          <w:szCs w:val="22"/>
        </w:rPr>
      </w:pPr>
      <w:r>
        <w:rPr>
          <w:rFonts w:hint="default" w:ascii="Times New Roman" w:hAnsi="Times New Roman" w:eastAsia="黑体" w:cs="Times New Roman"/>
          <w:bCs/>
          <w:color w:val="auto"/>
          <w:kern w:val="2"/>
          <w:sz w:val="32"/>
          <w:szCs w:val="22"/>
        </w:rPr>
        <w:t>四、重点任务</w:t>
      </w:r>
    </w:p>
    <w:p>
      <w:pPr>
        <w:spacing w:line="600" w:lineRule="exact"/>
        <w:ind w:firstLine="643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</w:rPr>
        <w:t>（一）测土配方施肥提升行动。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强化技术创新和推广服务，打造测土配方施肥升级版，促进深化提升和推广落地。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打基础。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建立常态化工作机制，持续开展施肥情况调查、营养诊断、田间试验等基础性工作。加强测土配方施肥数据管理与应用，及时更新施肥参数，修订养分丰缺和施肥指标体系，精准制定肥料配方。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强服务。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创新高效测试方法，探索现代营养诊断技术，应用移动互联等手段强化信息服务。探索作物专用肥套餐制配送、植物营养全程化管理、智能配肥“云服务”等一体化模式，提升服务能力。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促落地。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深入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开展农企合作，有效联结肥料生产企业、新型经营主体和社会化服务组织，鼓励和引导肥料生产企业按肥料配方生产配方肥、作物专用肥，探索公益性与经营性融合互补的服务模式，促进配方肥落地。</w:t>
      </w:r>
    </w:p>
    <w:p>
      <w:pPr>
        <w:spacing w:line="600" w:lineRule="exact"/>
        <w:ind w:firstLine="643" w:firstLineChars="200"/>
        <w:rPr>
          <w:rFonts w:hint="default" w:ascii="Times New Roman" w:hAnsi="Times New Roman" w:eastAsia="仿宋" w:cs="Times New Roman"/>
          <w:bCs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</w:rPr>
        <w:t>（二）“三新”集成配套落地行动。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结合绿色高产高效创建，集成推广施肥新技术新产品新机具，减少化肥用量，提高利用效率。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新技术。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强化土壤、肥料、作物三者协同，实施养分综合管理，因地制宜推广营养诊断、根层调控和精准施肥等技术，实行有机无机配合，促进养分需求与供应数量匹配、时间同步、空间耦合。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新产品。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加强绿色投入品创新研发，引导肥料产品优化升级，积极推广缓控释肥料、水溶肥料、微生物肥料、增效肥料和其他功能性肥料，准确匹配植物营养需求，提高养分吸收效率。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新机具。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推广应用种肥同播机、机械深施注肥器、侧深施肥机、喷肥无人机、水肥一体化设施、有机肥抛洒机等高效机械装备，减少化肥流失和浪费。</w:t>
      </w:r>
    </w:p>
    <w:p>
      <w:pPr>
        <w:spacing w:line="600" w:lineRule="exact"/>
        <w:ind w:firstLine="643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</w:rPr>
        <w:t>（三）化肥多元替代推进行动。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统筹利用有机肥资源，鼓励引导农民增施有机肥，推动有机无机结合。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种养循环。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以绿色种养循环农业试点为突破口，开展种养对接，以畜禽粪便等有机废弃物为原料堆沤有机肥，就地就近还田利用，因地制宜推广有机肥、生物有机肥、有机无机复混肥等，促进有机无机结合。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绿肥种植。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在光热和水资源适宜的区域，大力发展绿肥种植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和果园生草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，采取自然覆盖、刈割覆盖或翻压还田等方式，增加土壤有机物质投入。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秸秆还田。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充分利用农作物秸秆资源，通过覆盖、翻压、堆沤、生物反应堆等方式还田利用。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合理轮作。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优化种植制度，推广花生、大豆等豆科作物轮作、间套作，接种根瘤菌剂，促进生物固氮。</w:t>
      </w:r>
    </w:p>
    <w:p>
      <w:pPr>
        <w:adjustRightInd/>
        <w:spacing w:line="600" w:lineRule="exact"/>
        <w:ind w:firstLine="643" w:firstLineChars="200"/>
        <w:textAlignment w:val="auto"/>
        <w:rPr>
          <w:rFonts w:hint="default" w:ascii="Times New Roman" w:hAnsi="Times New Roman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</w:rPr>
        <w:t>（四）肥效监测评价行动。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构建施肥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效果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监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测评价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体系，科学评价化肥减量化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成效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布网点。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以种植大户、家庭农场、专业合作社等为对象，建立农户施肥情况调查点和肥料使用效果监测点，创新数据采集手段和机制，开展调查监测，掌握一手数据。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建平台。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搭建科学施肥数据管理平台，在深入挖掘农户调查、测试化验、田间试验、效果监测等数据基础上，系统整合化肥生产流通等相关信息来源，实现多源数据融合分析，为科学施肥“云服务”提供支撑。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评效果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优化评价参数，建立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两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级评价指标体系，科学确定评价方法，客观评价化肥减量化效果。</w:t>
      </w:r>
    </w:p>
    <w:p>
      <w:pPr>
        <w:spacing w:line="600" w:lineRule="exact"/>
        <w:ind w:firstLine="643" w:firstLineChars="200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</w:rPr>
        <w:t>（五）宣传培训到户行动。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强化肥料知识与施肥技术宣传培训和推广，促进科学使用。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技术培训。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组织开展“百县千乡万户”科学施肥培训行动，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采用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国家、省、市、县农技推广部门四级联动，科研教学、行业协会、肥料企业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三方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互动的方式，开展多种形式的技术培训。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指导服务。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发挥科学施肥专家指导组和省级专家团队技术支撑作用，组织开展“百名专家联百县”科学施肥指导行动，强化对基层农技推广体系、社会化服务组织和新型经营主体的技术指导。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宣传引导。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开展科学认识化肥作用、促进绿色发展专题宣传，编印科学认识化肥挂图、化肥合理使用手册、有机肥料施用指南等资料，征集总结化肥减量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化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典型案例，在平面媒体和新媒体集中报道，用真实案例提升宣传效果。</w:t>
      </w:r>
    </w:p>
    <w:p>
      <w:pPr>
        <w:adjustRightIn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Cs/>
          <w:color w:val="auto"/>
          <w:kern w:val="2"/>
          <w:sz w:val="32"/>
          <w:szCs w:val="22"/>
        </w:rPr>
      </w:pPr>
      <w:r>
        <w:rPr>
          <w:rFonts w:hint="default" w:ascii="Times New Roman" w:hAnsi="Times New Roman" w:eastAsia="黑体" w:cs="Times New Roman"/>
          <w:bCs/>
          <w:color w:val="auto"/>
          <w:kern w:val="2"/>
          <w:sz w:val="32"/>
          <w:szCs w:val="22"/>
        </w:rPr>
        <w:t>五、保障措施</w:t>
      </w:r>
    </w:p>
    <w:p>
      <w:pPr>
        <w:adjustRightInd/>
        <w:spacing w:line="600" w:lineRule="exact"/>
        <w:ind w:firstLine="643" w:firstLineChars="200"/>
        <w:textAlignment w:val="auto"/>
        <w:rPr>
          <w:rFonts w:hint="default" w:ascii="Times New Roman" w:hAnsi="Times New Roman" w:eastAsia="仿宋" w:cs="Times New Roman"/>
          <w:b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</w:rPr>
        <w:t>（一）加强组织领导。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农业农村部成立由部领导任组长的化肥减量化行动协调指导组，部内有关司局和单位负责同志为成员，种植业管理司会同全国农业技术推广服务中心负责具体工作。各省（区、市）成立由省级农业农村部门负责同志任组长的推进落实领导小组，加强协调指导，推进各项措施落实。</w:t>
      </w:r>
    </w:p>
    <w:p>
      <w:pPr>
        <w:adjustRightInd/>
        <w:spacing w:line="600" w:lineRule="exact"/>
        <w:ind w:firstLine="643" w:firstLineChars="200"/>
        <w:textAlignment w:val="auto"/>
        <w:rPr>
          <w:rFonts w:hint="default" w:ascii="Times New Roman" w:hAnsi="Times New Roman" w:eastAsia="仿宋" w:cs="Times New Roman"/>
          <w:b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</w:rPr>
        <w:t>（二）压实工作责任。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落实“部门指导、省负总责、县抓落实”的责任机制，层层落实属地责任，将化肥减量化的主要任务分解到年度，细化到重点区域和主要作物，上下联动，多方协作，确保各项措施落到实处。</w:t>
      </w:r>
    </w:p>
    <w:p>
      <w:pPr>
        <w:spacing w:line="600" w:lineRule="exact"/>
        <w:ind w:firstLine="643" w:firstLineChars="200"/>
        <w:rPr>
          <w:rFonts w:hint="default" w:ascii="Times New Roman" w:hAnsi="Times New Roman" w:eastAsia="仿宋" w:cs="Times New Roman"/>
          <w:color w:val="auto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</w:rPr>
        <w:t>（三）强化法制保障。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开展肥料立法调研，积极推进肥料领域立法。推动肥料管理衔接，有效串联起肥料生产、登记、经营、使用和监督管理各个环节，构建科学、规范、高效的肥料行业管理机制。</w:t>
      </w:r>
    </w:p>
    <w:p>
      <w:pPr>
        <w:adjustRightInd/>
        <w:spacing w:line="600" w:lineRule="exact"/>
        <w:ind w:firstLine="643" w:firstLineChars="200"/>
        <w:textAlignment w:val="auto"/>
        <w:rPr>
          <w:rFonts w:hint="default" w:ascii="Times New Roman" w:hAnsi="Times New Roman" w:eastAsia="楷体" w:cs="Times New Roman"/>
          <w:b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</w:rPr>
        <w:t>（四）加大政策扶持。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加强与财政、金融、科技等部门的沟通协调，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建立健全化肥减量化稳定投入保障机制，支持探索建立粪肥科学还田利用长效机制，持续推进化肥减量增效。</w:t>
      </w:r>
    </w:p>
    <w:p>
      <w:pPr>
        <w:adjustRightInd/>
        <w:spacing w:line="600" w:lineRule="exact"/>
        <w:ind w:firstLine="643" w:firstLineChars="200"/>
        <w:textAlignment w:val="auto"/>
        <w:rPr>
          <w:rFonts w:hint="default" w:ascii="Times New Roman" w:hAnsi="Times New Roman" w:cs="Times New Roman"/>
          <w:color w:val="auto"/>
          <w:szCs w:val="32"/>
        </w:rPr>
      </w:pPr>
      <w:r>
        <w:rPr>
          <w:rFonts w:hint="default" w:ascii="Times New Roman" w:hAnsi="Times New Roman" w:eastAsia="楷体" w:cs="Times New Roman"/>
          <w:b/>
          <w:color w:val="auto"/>
          <w:sz w:val="32"/>
          <w:szCs w:val="32"/>
        </w:rPr>
        <w:t>（五）强化科技支撑。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发挥教学科研机构、龙头企业和行业协会的技术、产品和信息优势，组织开展绿色投入品、新型施肥技术等研发创新，集成一批技术模式，加快化肥减量增效技术和成果转化应用。</w:t>
      </w:r>
    </w:p>
    <w:p>
      <w:pPr>
        <w:rPr>
          <w:rFonts w:hint="default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liOTNlN2IxNzkwOWE3ZWJkZTE2NzY3MmI3YzNiZDUifQ=="/>
  </w:docVars>
  <w:rsids>
    <w:rsidRoot w:val="00000000"/>
    <w:rsid w:val="1F0040F0"/>
    <w:rsid w:val="5928218F"/>
    <w:rsid w:val="5CB6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line="580" w:lineRule="exact"/>
      <w:ind w:firstLine="880" w:firstLineChars="200"/>
    </w:pPr>
    <w:rPr>
      <w:sz w:val="32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5941</Words>
  <Characters>6026</Characters>
  <Lines>0</Lines>
  <Paragraphs>0</Paragraphs>
  <TotalTime>0</TotalTime>
  <ScaleCrop>false</ScaleCrop>
  <LinksUpToDate>false</LinksUpToDate>
  <CharactersWithSpaces>6026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2022-12-01T02:13:00Z</dcterms:created>
  <dc:creator>DELL</dc:creator>
  <cp:lastModifiedBy>会议管理终端</cp:lastModifiedBy>
  <dcterms:modified xsi:type="dcterms:W3CDTF">2022-12-01T08:22:24Z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  <property fmtid="{D5CDD505-2E9C-101B-9397-08002B2CF9AE}" pid="3" name="ICV">
    <vt:lpwstr>70343EEA9493490BB313443C524DFB7E</vt:lpwstr>
  </property>
</Properties>
</file>